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252F3">
      <w:pPr>
        <w:rPr>
          <w:rFonts w:hint="default" w:ascii="黑体" w:hAnsi="黑体" w:eastAsia="黑体" w:cs="黑体"/>
          <w:b/>
          <w:bCs/>
          <w:color w:val="851321" w:themeColor="accent6" w:themeShade="80"/>
          <w:sz w:val="28"/>
          <w:szCs w:val="28"/>
          <w:u w:val="thick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851321" w:themeColor="accent6" w:themeShade="80"/>
          <w:sz w:val="28"/>
          <w:szCs w:val="28"/>
          <w:u w:val="thick"/>
          <w:lang w:val="en-US" w:eastAsia="zh-CN"/>
        </w:rPr>
        <w:t>如何跨电脑复现?</w:t>
      </w:r>
    </w:p>
    <w:p w14:paraId="75D2C376"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3040" cy="2029460"/>
            <wp:effectExtent l="0" t="0" r="10160" b="2540"/>
            <wp:docPr id="1" name="图片 1" descr="a190e0c543ef2c4975716604b075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90e0c543ef2c4975716604b07523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8232">
      <w:pPr>
        <w:rPr>
          <w:rFonts w:hint="default" w:ascii="黑体" w:hAnsi="黑体" w:eastAsia="黑体" w:cs="黑体"/>
          <w:b/>
          <w:bCs/>
          <w:color w:val="851321" w:themeColor="accent6" w:themeShade="80"/>
          <w:sz w:val="28"/>
          <w:szCs w:val="28"/>
          <w:u w:val="thick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851321" w:themeColor="accent6" w:themeShade="80"/>
          <w:sz w:val="28"/>
          <w:szCs w:val="28"/>
          <w:u w:val="thick"/>
          <w:lang w:val="en-US" w:eastAsia="zh-CN"/>
        </w:rPr>
        <w:t>各个方面的东西在哪?</w:t>
      </w:r>
    </w:p>
    <w:p w14:paraId="5E4F168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解压后的文件夹/</w:t>
      </w:r>
    </w:p>
    <w:p w14:paraId="20C7F1A7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├─ run_current.m       当前24个案例的统一启动入口</w:t>
      </w:r>
    </w:p>
    <w:p w14:paraId="76F854F6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├─ run_all.m           早期基础实验的启动入口</w:t>
      </w:r>
    </w:p>
    <w:p w14:paraId="0310DE2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├─ startup.m           自动加载代码目录</w:t>
      </w:r>
    </w:p>
    <w:p w14:paraId="3D73B77A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├─ 项目更改.md          整个项目的修改记录</w:t>
      </w:r>
    </w:p>
    <w:p w14:paraId="522A6B73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├─ manifest.json       文件校验清单</w:t>
      </w:r>
    </w:p>
    <w:p w14:paraId="4F2586D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├─ Reference/          两份最终目标文档</w:t>
      </w:r>
    </w:p>
    <w:p w14:paraId="39F912EE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└─ Coding/</w:t>
      </w:r>
    </w:p>
    <w:p w14:paraId="6B0C043F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README.md        工程使用说明</w:t>
      </w:r>
    </w:p>
    <w:p w14:paraId="4E7793F5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config/          参数和实验设置</w:t>
      </w:r>
    </w:p>
    <w:p w14:paraId="19999905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src/             仿真核心代码</w:t>
      </w:r>
    </w:p>
    <w:p w14:paraId="4C4EB642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scripts/         各实验的运行、检查和绘图脚本</w:t>
      </w:r>
    </w:p>
    <w:p w14:paraId="18BD3DEF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tests/           自动测试</w:t>
      </w:r>
    </w:p>
    <w:p w14:paraId="619D4408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docs/            原理、结果和答辩说明</w:t>
      </w:r>
    </w:p>
    <w:p w14:paraId="351AE8A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├─ data/            大气数据与公开资料</w:t>
      </w:r>
    </w:p>
    <w:p w14:paraId="6CD189F3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 xml:space="preserve">   └─ reproduction_reference/  跨电脑比较用的参考结果</w:t>
      </w:r>
    </w:p>
    <w:p w14:paraId="4D4EC9E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```</w:t>
      </w:r>
    </w:p>
    <w:p w14:paraId="6C8B78F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3C7AA945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**1．想运行项目，找这里**</w:t>
      </w:r>
    </w:p>
    <w:p w14:paraId="68852DC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73FE1078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你想做什么 | 包内位置 |</w:t>
      </w:r>
    </w:p>
    <w:p w14:paraId="417F186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|---|---|</w:t>
      </w:r>
    </w:p>
    <w:p w14:paraId="157BCDC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运行当前全部24个案例 | 根目录 `run_current.m` |</w:t>
      </w:r>
    </w:p>
    <w:p w14:paraId="3F31EE3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查看统一运行具体执行哪些步骤 | `Coding/runCurrentExperiments.m` |</w:t>
      </w:r>
    </w:p>
    <w:p w14:paraId="0DBCF2B5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运行原四策略、切换扫描等基础实验 | 根目录 `run_all.m` |</w:t>
      </w:r>
    </w:p>
    <w:p w14:paraId="2C65163E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做短时快速检查 | `Coding/run_quick_demo.m` |</w:t>
      </w:r>
    </w:p>
    <w:p w14:paraId="5E4F1B7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查看使用方法 | `Coding/README.md` |</w:t>
      </w:r>
    </w:p>
    <w:p w14:paraId="34BAB79F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7ADD456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在MATLAB中，将当前目录设为解压后的根目录，然后输入：</w:t>
      </w:r>
    </w:p>
    <w:p w14:paraId="5966FA43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38DF8566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```matlab</w:t>
      </w:r>
    </w:p>
    <w:p w14:paraId="1640641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resultRoot = run_current;</w:t>
      </w:r>
    </w:p>
    <w:p w14:paraId="7A3ECB7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```</w:t>
      </w:r>
    </w:p>
    <w:p w14:paraId="78205658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7859E81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**2．想找某一批实验，找这里**</w:t>
      </w:r>
    </w:p>
    <w:p w14:paraId="224E9A82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3B570E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实验功能 | 案例数量 | 运行脚本 |</w:t>
      </w:r>
    </w:p>
    <w:p w14:paraId="1AC0630E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|---|---:|---|</w:t>
      </w:r>
    </w:p>
    <w:p w14:paraId="32C193B2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A1：供电调度及0%／10%／20%留电比较 | 8 | `Coding/scripts/run_power_a1.m` |</w:t>
      </w:r>
    </w:p>
    <w:p w14:paraId="637F8A1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A2：正常展开、半展、失败、反馈丢失 | 10 | `Coding/scripts/run_deployment_a2.m` |</w:t>
      </w:r>
    </w:p>
    <w:p w14:paraId="7F7BB5C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U1：四种中等单因素变化 | 5 | `Coding/scripts/run_uncertainty_u1.m` |</w:t>
      </w:r>
    </w:p>
    <w:p w14:paraId="5D52ECF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U2：中等不利条件同时发生 | 1 | `Coding/scripts/run_uncertainty_u2.m` |</w:t>
      </w:r>
    </w:p>
    <w:p w14:paraId="4B324245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AC1AD8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**所有案例具体改变了哪些参数，统一看 `Coding/config/experiment_matrix.m`。**</w:t>
      </w:r>
    </w:p>
    <w:p w14:paraId="7412A455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2498B9D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**3．想看参数和控制逻辑，找这里**</w:t>
      </w:r>
    </w:p>
    <w:p w14:paraId="28E3FBE7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44E742FA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功能 | 包内位置 |</w:t>
      </w:r>
    </w:p>
    <w:p w14:paraId="77134E0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|---|---|</w:t>
      </w:r>
    </w:p>
    <w:p w14:paraId="338C535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卫星质量、初始轨道、推力、燃料、帆面积 | `Coding/config/baseline_case.m` |</w:t>
      </w:r>
    </w:p>
    <w:p w14:paraId="470B35B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电池容量、初始电量、充放电效率、阴影假设 | `Coding/config/powerScenario.m` |</w:t>
      </w:r>
    </w:p>
    <w:p w14:paraId="58BDAA0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各设备质量和模式耗电账本 | `Coding/config/engineering_budget_candidate.csv` |</w:t>
      </w:r>
    </w:p>
    <w:p w14:paraId="660E78B3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参数来源与核实状态 | `Coding/config/parameter_sources.csv` |</w:t>
      </w:r>
    </w:p>
    <w:p w14:paraId="656FC042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提前留电、计算允许使用的功率 | `Coding/src/control/powerAvailability.m` |</w:t>
      </w:r>
    </w:p>
    <w:p w14:paraId="7EE66BB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计算电池充放电和缺供 | `Coding/src/control/advanceBattery.m` |</w:t>
      </w:r>
    </w:p>
    <w:p w14:paraId="676B09FD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根据工作模式确定实际耗电 | `Coding/src/control/modePowerLoad.m` |</w:t>
      </w:r>
    </w:p>
    <w:p w14:paraId="6843A3F8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根据许可、电力、健康和反馈决定动作 | `Coding/src/control/deorbitSupervisor.m` |</w:t>
      </w:r>
    </w:p>
    <w:p w14:paraId="1ACF455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实际展开进度与反馈状态 | `Coding/src/control/deploymentState.m` |</w:t>
      </w:r>
    </w:p>
    <w:p w14:paraId="6900E2C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检查电量是否足够完成一次展开 | `Coding/src/control/canStartDeployment.m` |</w:t>
      </w:r>
    </w:p>
    <w:p w14:paraId="52C917E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原四策略和故障动作定义 | `Coding/src/control/controlPolicy.m` |</w:t>
      </w:r>
    </w:p>
    <w:p w14:paraId="0E05BC7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7E5701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**4．轨道怎么计算、结果怎么判断，找这里**</w:t>
      </w:r>
    </w:p>
    <w:p w14:paraId="02974C72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568A188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功能 | 包内位置 |</w:t>
      </w:r>
    </w:p>
    <w:p w14:paraId="6CF9728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|---|---|</w:t>
      </w:r>
    </w:p>
    <w:p w14:paraId="15C94C46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把轨道、控制、电池和事件连接起来计算 | `Coding/src/propagation/propagateCase.m` |</w:t>
      </w:r>
    </w:p>
    <w:p w14:paraId="1C992C4E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地球引力、大气阻力、低推力 | `Coding/src/dynamics/` |</w:t>
      </w:r>
    </w:p>
    <w:p w14:paraId="0692D7AA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大气密度模型 | `Coding/src/environment/` |</w:t>
      </w:r>
    </w:p>
    <w:p w14:paraId="72ADEAD3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到120 km时停止计算 | `Coding/src/propagation/reentryEvent.m` |</w:t>
      </w:r>
    </w:p>
    <w:p w14:paraId="14B2A8D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判断展帆切换条件 | `Coding/src/propagation/switchEvent.m` |</w:t>
      </w:r>
    </w:p>
    <w:p w14:paraId="456B2DB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计算时间、燃料等指标 | `Coding/src/analysis/computeMetrics.m` |</w:t>
      </w:r>
    </w:p>
    <w:p w14:paraId="4BA2218E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判断最后一次退出原轨道窗口 | `Coding/src/analysis/windowExitMetrics.m` |</w:t>
      </w:r>
    </w:p>
    <w:p w14:paraId="40C754A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基础图表和动画 | `Coding/src/visualization/` |</w:t>
      </w:r>
    </w:p>
    <w:p w14:paraId="3C644E7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EA6DE0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**5．想看说明、系统图和答辩材料，优先打开这些**</w:t>
      </w:r>
    </w:p>
    <w:p w14:paraId="488F382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7226489A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内容 | 包内位置 |</w:t>
      </w:r>
    </w:p>
    <w:p w14:paraId="003BB6A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|---|---|</w:t>
      </w:r>
    </w:p>
    <w:p w14:paraId="215D6BCD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项目最终技术目标 | `Reference/受控离轨_MATLAB仿真最终总方案.md` |</w:t>
      </w:r>
    </w:p>
    <w:p w14:paraId="49F2C144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为什么做、创新与论证主线 | `Reference/受控离轨_创新故事与论证主线.md` |</w:t>
      </w:r>
    </w:p>
    <w:p w14:paraId="240D995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主案例参数、系统图、控制流程图 | `Coding/docs/主案例说明与系统图.md` |</w:t>
      </w:r>
    </w:p>
    <w:p w14:paraId="6BC4658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核心结果、证据出处和限制 | `Coding/docs/最终证据总表.md` |</w:t>
      </w:r>
    </w:p>
    <w:p w14:paraId="55B286C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一分钟开场及17项评委问答 | `Coding/docs/评委答辩问答稿_当前版.md` |</w:t>
      </w:r>
    </w:p>
    <w:p w14:paraId="3FDC2E41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参数和硬件证据缺口 | `Coding/docs/资料核对与工程补证报告.md` |</w:t>
      </w:r>
    </w:p>
    <w:p w14:paraId="19D5A7EA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U2组合检查结论 | `Coding/docs/中等不利组合检查_U2.md` |</w:t>
      </w:r>
    </w:p>
    <w:p w14:paraId="0C3B843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跨电脑操作步骤 | `Coding/docs/跨机复现说明.md` |</w:t>
      </w:r>
    </w:p>
    <w:p w14:paraId="19E14A2F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| 连续修改记录 | **根目录的 `项目更改.md`** |</w:t>
      </w:r>
    </w:p>
    <w:p w14:paraId="06DD1C7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70C5AEC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系统图写在Markdown文件的 `mermaid` 图形代码块中。支持Mermaid的查看器可以显示成图；普通文本编辑器可能只显示图形代码。</w:t>
      </w:r>
    </w:p>
    <w:p w14:paraId="521DEE2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6188F17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**6．检查是否正确、比较结果，找这里**</w:t>
      </w:r>
    </w:p>
    <w:p w14:paraId="597D2BA9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66D17C3B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- `Coding/tests/run_tests.m`：运行自动测试。</w:t>
      </w:r>
    </w:p>
    <w:p w14:paraId="1F14EC9E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- `Coding/scripts/verify_*.m`：核对能量、燃料或展开过程。</w:t>
      </w:r>
    </w:p>
    <w:p w14:paraId="1F032E42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- `Coding/scripts/check_*_resolution.m`：比较不同计算间隔的结果。</w:t>
      </w:r>
    </w:p>
    <w:p w14:paraId="7957C400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- `Coding/scripts/compare_current_reproduction.m`：比较24个案例与包内参考结果。</w:t>
      </w:r>
    </w:p>
    <w:p w14:paraId="4D00E0E3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- `Coding/scripts/buildCurrentEvidence.m`：检查必要结果文件是否齐全。</w:t>
      </w:r>
    </w:p>
    <w:p w14:paraId="111C5FE7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  <w:t>- `Coding/scripts/verify_reproduction_package.py`：检查文件是否与校验清单一致。</w:t>
      </w:r>
    </w:p>
    <w:p w14:paraId="5A16564F">
      <w:p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A44DB"/>
    <w:rsid w:val="008C6C96"/>
    <w:rsid w:val="08230FE7"/>
    <w:rsid w:val="10EA44DB"/>
    <w:rsid w:val="14A90F1B"/>
    <w:rsid w:val="61DB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2026-09-30T14:16:00Z</dcterms:created>
  <dc:creator>幸运之神</dc:creator>
  <cp:lastModifiedBy>幸运之神</cp:lastModifiedBy>
  <dcterms:modified xsi:type="dcterms:W3CDTF">2026-09-30T14:32:50Z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CD36CA201DDF48509E635E5EAF7CFF2B_13</vt:lpwstr>
  </property>
  <property fmtid="{D5CDD505-2E9C-101B-9397-08002B2CF9AE}" pid="4" name="KSOTemplateDocerSaveRecord">
    <vt:lpwstr>eyJoZGlkIjoiNzE2YzgyNzc4NTU1ZjIzYzA4ODA2NzI2YmY3ZGUwNzAiLCJ1c2VySWQiOiI4NjMwMjkzNzYifQ==</vt:lpwstr>
  </property>
</Properties>
</file>