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E58DF">
      <w:pPr>
        <w:spacing w:line="360" w:lineRule="auto"/>
        <w:jc w:val="left"/>
        <w:rPr>
          <w:rFonts w:hint="eastAsia" w:ascii="宋体" w:hAnsi="宋体" w:eastAsia="宋体" w:cs="宋体"/>
          <w:sz w:val="24"/>
          <w:szCs w:val="32"/>
        </w:rPr>
      </w:pPr>
      <w:r>
        <w:rPr>
          <w:rFonts w:hint="eastAsia" w:ascii="宋体" w:hAnsi="宋体" w:eastAsia="宋体" w:cs="宋体"/>
          <w:sz w:val="24"/>
          <w:szCs w:val="32"/>
        </w:rPr>
        <w:t>【A18】基于同花顺问财 SkillHub 的个性化证券投顾智能体系统设计【同花顺】</w:t>
      </w:r>
    </w:p>
    <w:p w14:paraId="4ADAC3B6">
      <w:pPr>
        <w:spacing w:line="360" w:lineRule="auto"/>
        <w:jc w:val="left"/>
        <w:rPr>
          <w:rFonts w:hint="eastAsia" w:ascii="宋体" w:hAnsi="宋体" w:eastAsia="宋体" w:cs="宋体"/>
          <w:sz w:val="24"/>
          <w:szCs w:val="32"/>
        </w:rPr>
      </w:pPr>
      <w:r>
        <w:rPr>
          <w:rFonts w:hint="eastAsia" w:ascii="宋体" w:hAnsi="宋体" w:eastAsia="宋体" w:cs="宋体"/>
          <w:sz w:val="24"/>
          <w:szCs w:val="32"/>
        </w:rPr>
        <w:t>1.命题方向</w:t>
      </w:r>
    </w:p>
    <w:p w14:paraId="531872EA">
      <w:pPr>
        <w:spacing w:line="360" w:lineRule="auto"/>
        <w:jc w:val="left"/>
        <w:rPr>
          <w:rFonts w:hint="eastAsia" w:ascii="宋体" w:hAnsi="宋体" w:eastAsia="宋体" w:cs="宋体"/>
          <w:sz w:val="24"/>
          <w:szCs w:val="32"/>
        </w:rPr>
      </w:pPr>
      <w:r>
        <w:rPr>
          <w:rFonts w:hint="eastAsia" w:ascii="宋体" w:hAnsi="宋体" w:eastAsia="宋体" w:cs="宋体"/>
          <w:sz w:val="24"/>
          <w:szCs w:val="32"/>
        </w:rPr>
        <w:t>人工智能</w:t>
      </w:r>
    </w:p>
    <w:p w14:paraId="77F44DF4">
      <w:pPr>
        <w:spacing w:line="360" w:lineRule="auto"/>
        <w:jc w:val="left"/>
        <w:rPr>
          <w:rFonts w:hint="eastAsia" w:ascii="宋体" w:hAnsi="宋体" w:eastAsia="宋体" w:cs="宋体"/>
          <w:sz w:val="24"/>
          <w:szCs w:val="32"/>
        </w:rPr>
      </w:pPr>
      <w:r>
        <w:rPr>
          <w:rFonts w:hint="eastAsia" w:ascii="宋体" w:hAnsi="宋体" w:eastAsia="宋体" w:cs="宋体"/>
          <w:sz w:val="24"/>
          <w:szCs w:val="32"/>
        </w:rPr>
        <w:t>2.题目类别</w:t>
      </w:r>
    </w:p>
    <w:p w14:paraId="7F726D61">
      <w:pPr>
        <w:spacing w:line="360" w:lineRule="auto"/>
        <w:jc w:val="left"/>
        <w:rPr>
          <w:rFonts w:hint="eastAsia" w:ascii="宋体" w:hAnsi="宋体" w:eastAsia="宋体" w:cs="宋体"/>
          <w:sz w:val="24"/>
          <w:szCs w:val="32"/>
        </w:rPr>
      </w:pPr>
      <w:r>
        <w:rPr>
          <w:rFonts w:hint="eastAsia" w:ascii="宋体" w:hAnsi="宋体" w:eastAsia="宋体" w:cs="宋体"/>
          <w:sz w:val="24"/>
          <w:szCs w:val="32"/>
        </w:rPr>
        <w:t>智能体</w:t>
      </w:r>
    </w:p>
    <w:p w14:paraId="05DD74DC">
      <w:pPr>
        <w:spacing w:line="360" w:lineRule="auto"/>
        <w:jc w:val="left"/>
        <w:rPr>
          <w:rFonts w:hint="eastAsia" w:ascii="宋体" w:hAnsi="宋体" w:eastAsia="宋体" w:cs="宋体"/>
          <w:sz w:val="24"/>
          <w:szCs w:val="32"/>
        </w:rPr>
      </w:pPr>
      <w:r>
        <w:rPr>
          <w:rFonts w:hint="eastAsia" w:ascii="宋体" w:hAnsi="宋体" w:eastAsia="宋体" w:cs="宋体"/>
          <w:sz w:val="24"/>
          <w:szCs w:val="32"/>
        </w:rPr>
        <w:t>3.题目名称</w:t>
      </w:r>
    </w:p>
    <w:p w14:paraId="47D66299">
      <w:pPr>
        <w:spacing w:line="360" w:lineRule="auto"/>
        <w:jc w:val="left"/>
        <w:rPr>
          <w:rFonts w:hint="eastAsia" w:ascii="宋体" w:hAnsi="宋体" w:eastAsia="宋体" w:cs="宋体"/>
          <w:sz w:val="24"/>
          <w:szCs w:val="32"/>
        </w:rPr>
      </w:pPr>
      <w:r>
        <w:rPr>
          <w:rFonts w:hint="eastAsia" w:ascii="宋体" w:hAnsi="宋体" w:eastAsia="宋体" w:cs="宋体"/>
          <w:sz w:val="24"/>
          <w:szCs w:val="32"/>
        </w:rPr>
        <w:t>基于同花顺问财 SkillHub 的个性化证券投顾智能体系统设计</w:t>
      </w:r>
    </w:p>
    <w:p w14:paraId="3B5B99D0">
      <w:pPr>
        <w:spacing w:line="360" w:lineRule="auto"/>
        <w:jc w:val="left"/>
        <w:rPr>
          <w:rFonts w:hint="eastAsia" w:ascii="宋体" w:hAnsi="宋体" w:eastAsia="宋体" w:cs="宋体"/>
          <w:sz w:val="24"/>
          <w:szCs w:val="32"/>
        </w:rPr>
      </w:pPr>
      <w:r>
        <w:rPr>
          <w:rFonts w:hint="eastAsia" w:ascii="宋体" w:hAnsi="宋体" w:eastAsia="宋体" w:cs="宋体"/>
          <w:sz w:val="24"/>
          <w:szCs w:val="32"/>
        </w:rPr>
        <w:t>4.背景说明</w:t>
      </w:r>
    </w:p>
    <w:p w14:paraId="14312AC1">
      <w:pPr>
        <w:spacing w:line="360" w:lineRule="auto"/>
        <w:jc w:val="left"/>
        <w:rPr>
          <w:rFonts w:hint="eastAsia" w:ascii="宋体" w:hAnsi="宋体" w:eastAsia="宋体" w:cs="宋体"/>
          <w:sz w:val="24"/>
          <w:szCs w:val="32"/>
        </w:rPr>
      </w:pPr>
      <w:r>
        <w:rPr>
          <w:rFonts w:hint="eastAsia" w:ascii="宋体" w:hAnsi="宋体" w:eastAsia="宋体" w:cs="宋体"/>
          <w:sz w:val="24"/>
          <w:szCs w:val="32"/>
        </w:rPr>
        <w:t>【整体背景】</w:t>
      </w:r>
    </w:p>
    <w:p w14:paraId="74FEC510">
      <w:pPr>
        <w:spacing w:line="360" w:lineRule="auto"/>
        <w:jc w:val="left"/>
        <w:rPr>
          <w:rFonts w:hint="eastAsia" w:ascii="宋体" w:hAnsi="宋体" w:eastAsia="宋体" w:cs="宋体"/>
          <w:sz w:val="24"/>
          <w:szCs w:val="32"/>
        </w:rPr>
      </w:pPr>
      <w:r>
        <w:rPr>
          <w:rFonts w:hint="eastAsia" w:ascii="宋体" w:hAnsi="宋体" w:eastAsia="宋体" w:cs="宋体"/>
          <w:sz w:val="24"/>
          <w:szCs w:val="32"/>
        </w:rPr>
        <w:t>随着人工智能技术与金融行业的深度融合，智能化投研与投顾服务正成为证券行业转型升级的核心方向。大语言模型（LLM）在自然语言处理、多轮对话推理、复杂问题拆解等方面的突破， 为证券投顾业务带来了从“工具辅助”向“智能协作”演进的机遇。</w:t>
      </w:r>
    </w:p>
    <w:p w14:paraId="02E37B6B">
      <w:pPr>
        <w:spacing w:line="360" w:lineRule="auto"/>
        <w:jc w:val="left"/>
        <w:rPr>
          <w:rFonts w:hint="eastAsia" w:ascii="宋体" w:hAnsi="宋体" w:eastAsia="宋体" w:cs="宋体"/>
          <w:sz w:val="24"/>
          <w:szCs w:val="32"/>
        </w:rPr>
      </w:pPr>
      <w:r>
        <w:rPr>
          <w:rFonts w:hint="eastAsia" w:ascii="宋体" w:hAnsi="宋体" w:eastAsia="宋体" w:cs="宋体"/>
          <w:sz w:val="24"/>
          <w:szCs w:val="32"/>
        </w:rPr>
        <w:t>在传统证券投顾模式中，投资顾问主要依赖自身经验与静态研报为客户提供建议，存在服务半径有限、个性化程度不足、响应效率低等痛点。而在生成式 AI技术的赋能下，智能投顾系统能够实现语义理解→信息检索→策略生成→持续学习的完整闭环，显著提升投顾服务的规模化能力与个性化水平。</w:t>
      </w:r>
    </w:p>
    <w:p w14:paraId="66F564C4">
      <w:pPr>
        <w:spacing w:line="360" w:lineRule="auto"/>
        <w:jc w:val="left"/>
        <w:rPr>
          <w:rFonts w:hint="eastAsia" w:ascii="宋体" w:hAnsi="宋体" w:eastAsia="宋体" w:cs="宋体"/>
          <w:sz w:val="24"/>
          <w:szCs w:val="32"/>
        </w:rPr>
      </w:pPr>
      <w:r>
        <w:rPr>
          <w:rFonts w:hint="eastAsia" w:ascii="宋体" w:hAnsi="宋体" w:eastAsia="宋体" w:cs="宋体"/>
          <w:sz w:val="24"/>
          <w:szCs w:val="32"/>
        </w:rPr>
        <w:t>同花顺问财作为国内首个将大模型技术应用于投资领域的智能投顾产品，基于自研的 HithinkGPT 金融大模型，通过多智能体协作机制，将原本分散在数据查询、选股分析、研判解读等环节的能力进行统一整合，为投资者提供覆盖 A 股、基金、ETF、港股、美股、债券、宏观等多领域的智能化投顾服务。这一实践表明，AIAgent（智能体）技术正在重塑证券投顾的业务模式与服务形态。</w:t>
      </w:r>
    </w:p>
    <w:p w14:paraId="2DF09B9A">
      <w:pPr>
        <w:spacing w:line="360" w:lineRule="auto"/>
        <w:jc w:val="left"/>
        <w:rPr>
          <w:rFonts w:hint="eastAsia" w:ascii="宋体" w:hAnsi="宋体" w:eastAsia="宋体" w:cs="宋体"/>
          <w:sz w:val="24"/>
          <w:szCs w:val="32"/>
        </w:rPr>
      </w:pPr>
      <w:r>
        <w:rPr>
          <w:rFonts w:hint="eastAsia" w:ascii="宋体" w:hAnsi="宋体" w:eastAsia="宋体" w:cs="宋体"/>
          <w:sz w:val="24"/>
          <w:szCs w:val="32"/>
        </w:rPr>
        <w:t>基于同花顺问财 SkillHub 构建个性化证券投顾智能体系统，旨在利用其开放的智能体编排框架与丰富的金融数据 API，实现多维度信息的智能整合、个性化投资建议的生成，以及投顾服务的全流程自动化。这既是金融科技赋能证券行业的重要体现，也是 AI 技术在投顾场景落地的有益探索。</w:t>
      </w:r>
    </w:p>
    <w:p w14:paraId="12135882">
      <w:pPr>
        <w:spacing w:line="360" w:lineRule="auto"/>
        <w:jc w:val="left"/>
        <w:rPr>
          <w:rFonts w:hint="eastAsia" w:ascii="宋体" w:hAnsi="宋体" w:eastAsia="宋体" w:cs="宋体"/>
          <w:sz w:val="24"/>
          <w:szCs w:val="32"/>
        </w:rPr>
      </w:pPr>
      <w:r>
        <w:rPr>
          <w:rFonts w:hint="eastAsia" w:ascii="宋体" w:hAnsi="宋体" w:eastAsia="宋体" w:cs="宋体"/>
          <w:sz w:val="24"/>
          <w:szCs w:val="32"/>
        </w:rPr>
        <w:t>【公司背景】</w:t>
      </w:r>
    </w:p>
    <w:p w14:paraId="35597CDF">
      <w:pPr>
        <w:spacing w:line="360" w:lineRule="auto"/>
        <w:jc w:val="left"/>
        <w:rPr>
          <w:rFonts w:hint="eastAsia" w:ascii="宋体" w:hAnsi="宋体" w:eastAsia="宋体" w:cs="宋体"/>
          <w:sz w:val="24"/>
          <w:szCs w:val="32"/>
        </w:rPr>
      </w:pPr>
      <w:r>
        <w:rPr>
          <w:rFonts w:hint="eastAsia" w:ascii="宋体" w:hAnsi="宋体" w:eastAsia="宋体" w:cs="宋体"/>
          <w:sz w:val="24"/>
          <w:szCs w:val="32"/>
        </w:rPr>
        <w:t>同花顺（300033.SZ）是国内领先的互联网金融信息服务提供商，成立于 2001年，2009 年于创业板上市。公司以“用科技让投资更简单”为使命，历经二十余</w:t>
      </w:r>
    </w:p>
    <w:p w14:paraId="75931D3D">
      <w:pPr>
        <w:spacing w:line="360" w:lineRule="auto"/>
        <w:jc w:val="left"/>
        <w:rPr>
          <w:rFonts w:hint="eastAsia" w:ascii="宋体" w:hAnsi="宋体" w:eastAsia="宋体" w:cs="宋体"/>
          <w:sz w:val="24"/>
          <w:szCs w:val="32"/>
        </w:rPr>
      </w:pPr>
    </w:p>
    <w:p w14:paraId="41F4D921">
      <w:pPr>
        <w:spacing w:line="360" w:lineRule="auto"/>
        <w:jc w:val="left"/>
        <w:rPr>
          <w:rFonts w:hint="eastAsia" w:ascii="宋体" w:hAnsi="宋体" w:eastAsia="宋体" w:cs="宋体"/>
          <w:sz w:val="24"/>
          <w:szCs w:val="32"/>
        </w:rPr>
      </w:pPr>
      <w:r>
        <w:rPr>
          <w:rFonts w:hint="eastAsia" w:ascii="宋体" w:hAnsi="宋体" w:eastAsia="宋体" w:cs="宋体"/>
          <w:sz w:val="24"/>
          <w:szCs w:val="32"/>
        </w:rPr>
        <w:t>年发展，已从单一的证券行情软件提供商，成长为覆盖 C 端个人投资者与B 端机构客户的全产业链金融科技平台。</w:t>
      </w:r>
    </w:p>
    <w:p w14:paraId="1469D0DB">
      <w:pPr>
        <w:spacing w:line="360" w:lineRule="auto"/>
        <w:jc w:val="left"/>
        <w:rPr>
          <w:rFonts w:hint="eastAsia" w:ascii="宋体" w:hAnsi="宋体" w:eastAsia="宋体" w:cs="宋体"/>
          <w:sz w:val="24"/>
          <w:szCs w:val="32"/>
        </w:rPr>
      </w:pPr>
      <w:r>
        <w:rPr>
          <w:rFonts w:hint="eastAsia" w:ascii="宋体" w:hAnsi="宋体" w:eastAsia="宋体" w:cs="宋体"/>
          <w:sz w:val="24"/>
          <w:szCs w:val="32"/>
        </w:rPr>
        <w:t>市场地位方面，同花顺在 C 端证券服务领域占据绝对领先优势。根据易观千帆数据，2025 年同花顺 APP 平均月活跃用户达 3549.91 万人，稳居证券类 APP首位，远超竞争对手东方财富（1742.77 万）和大智慧（1209.55 万）， 占据行业近 20%市场份额。公司服务覆盖国内 90%以上的证券公司，在个人投资者市场份额长期保持领先地位，形成了“一超两强”的行业竞争格局。</w:t>
      </w:r>
    </w:p>
    <w:p w14:paraId="743359E8">
      <w:pPr>
        <w:spacing w:line="360" w:lineRule="auto"/>
        <w:jc w:val="left"/>
        <w:rPr>
          <w:rFonts w:hint="eastAsia" w:ascii="宋体" w:hAnsi="宋体" w:eastAsia="宋体" w:cs="宋体"/>
          <w:sz w:val="24"/>
          <w:szCs w:val="32"/>
        </w:rPr>
      </w:pPr>
      <w:r>
        <w:rPr>
          <w:rFonts w:hint="eastAsia" w:ascii="宋体" w:hAnsi="宋体" w:eastAsia="宋体" w:cs="宋体"/>
          <w:sz w:val="24"/>
          <w:szCs w:val="32"/>
        </w:rPr>
        <w:t>AI 战略布局方面，同花顺于 2019 年率先提出"ALLINAI"战略，2024 年初推出自研金融垂类大模型问财 HithinkGPT，并于 2025 年完成问财 2.0 重磅升级，注入“慢思考”智慧能力。该模型在通用领域和金融领域的表现均优于开源模型，是业内首家通过网信办备案的金融对话大模型。公司还推出同创智能体平台， 以低代码方式帮助机构客户高效落地 AI 能力。</w:t>
      </w:r>
    </w:p>
    <w:p w14:paraId="05EFE6EF">
      <w:pPr>
        <w:spacing w:line="360" w:lineRule="auto"/>
        <w:jc w:val="left"/>
        <w:rPr>
          <w:rFonts w:hint="eastAsia" w:ascii="宋体" w:hAnsi="宋体" w:eastAsia="宋体" w:cs="宋体"/>
          <w:sz w:val="24"/>
          <w:szCs w:val="32"/>
        </w:rPr>
      </w:pPr>
      <w:r>
        <w:rPr>
          <w:rFonts w:hint="eastAsia" w:ascii="宋体" w:hAnsi="宋体" w:eastAsia="宋体" w:cs="宋体"/>
          <w:sz w:val="24"/>
          <w:szCs w:val="32"/>
        </w:rPr>
        <w:t>【业务背景】</w:t>
      </w:r>
    </w:p>
    <w:p w14:paraId="22501101">
      <w:pPr>
        <w:spacing w:line="360" w:lineRule="auto"/>
        <w:jc w:val="left"/>
        <w:rPr>
          <w:rFonts w:hint="eastAsia" w:ascii="宋体" w:hAnsi="宋体" w:eastAsia="宋体" w:cs="宋体"/>
          <w:sz w:val="24"/>
          <w:szCs w:val="32"/>
        </w:rPr>
      </w:pPr>
      <w:r>
        <w:rPr>
          <w:rFonts w:hint="eastAsia" w:ascii="宋体" w:hAnsi="宋体" w:eastAsia="宋体" w:cs="宋体"/>
          <w:sz w:val="24"/>
          <w:szCs w:val="32"/>
        </w:rPr>
        <w:t>证券投顾行业正处于快速增长期。根据中证协披露数据， 2025 年 150 家证券公司实现投资咨询业务净收入 76.94 亿元，同比增长 41.36%，营收贡献率从 2024年的 1.21%提升至 1.42%。截至 2026 年 2 月，证券投资顾问人数已突破 8.78 万人，距离 9 万人大关仅一步之遥，5 年间增长近 3 万人。</w:t>
      </w:r>
    </w:p>
    <w:p w14:paraId="2FF49043">
      <w:pPr>
        <w:spacing w:line="360" w:lineRule="auto"/>
        <w:jc w:val="left"/>
        <w:rPr>
          <w:rFonts w:hint="eastAsia" w:ascii="宋体" w:hAnsi="宋体" w:eastAsia="宋体" w:cs="宋体"/>
          <w:sz w:val="24"/>
          <w:szCs w:val="32"/>
        </w:rPr>
      </w:pPr>
      <w:r>
        <w:rPr>
          <w:rFonts w:hint="eastAsia" w:ascii="宋体" w:hAnsi="宋体" w:eastAsia="宋体" w:cs="宋体"/>
          <w:sz w:val="24"/>
          <w:szCs w:val="32"/>
        </w:rPr>
        <w:t>从“卖方代销”向“买方投顾”转型成为行业共识。传统以产品销售为导向的模式正加速向以资产配置、持仓复盘、市场解读为核心的买方服务模式演进。多家券商明确将金融产品保有规模、投资者盈利占比等指标作为核心考核点。</w:t>
      </w:r>
    </w:p>
    <w:p w14:paraId="0070E991">
      <w:pPr>
        <w:spacing w:line="360" w:lineRule="auto"/>
        <w:jc w:val="left"/>
        <w:rPr>
          <w:rFonts w:hint="eastAsia" w:ascii="宋体" w:hAnsi="宋体" w:eastAsia="宋体" w:cs="宋体"/>
          <w:sz w:val="24"/>
          <w:szCs w:val="32"/>
        </w:rPr>
      </w:pPr>
      <w:r>
        <w:rPr>
          <w:rFonts w:hint="eastAsia" w:ascii="宋体" w:hAnsi="宋体" w:eastAsia="宋体" w:cs="宋体"/>
          <w:sz w:val="24"/>
          <w:szCs w:val="32"/>
        </w:rPr>
        <w:t>iFinD 作为同花顺面向机构客户提供研究、投资决策服务的核心产品，通过机器学习、自然语言处理、知识图谱等 AI 技术，对全网数据、资讯事件、观点逻辑进行自动化处理和分析。平台覆盖 4000 多家机构每天更新的 2000 多篇研究报告，企业智库涵盖 3 亿+家企业、4000+企业标签、300+数据维度，为智能投顾提供了坚实的数据基础。</w:t>
      </w:r>
    </w:p>
    <w:p w14:paraId="5437BB09">
      <w:pPr>
        <w:spacing w:line="360" w:lineRule="auto"/>
        <w:jc w:val="left"/>
        <w:rPr>
          <w:rFonts w:hint="eastAsia" w:ascii="宋体" w:hAnsi="宋体" w:eastAsia="宋体" w:cs="宋体"/>
          <w:sz w:val="24"/>
          <w:szCs w:val="32"/>
        </w:rPr>
      </w:pPr>
      <w:r>
        <w:rPr>
          <w:rFonts w:hint="eastAsia" w:ascii="宋体" w:hAnsi="宋体" w:eastAsia="宋体" w:cs="宋体"/>
          <w:sz w:val="24"/>
          <w:szCs w:val="32"/>
        </w:rPr>
        <w:t>基于同花顺问财 SkillHub 构建个性化证券投顾智能体系统，是顺应 AI 赋能投顾趋势的务实选择。通过整合问财的金融语义理解能力、iFinD 的海量数据资源，以及 SkillHub 的智能体编排框架，可构建具备个性化、智能化、流程化特征的投顾服务新范式，助力券商和投资者在复杂市场环境中做出更理性的投资决策。</w:t>
      </w:r>
    </w:p>
    <w:p w14:paraId="3B46AC3B">
      <w:pPr>
        <w:spacing w:line="360" w:lineRule="auto"/>
        <w:jc w:val="left"/>
        <w:rPr>
          <w:rFonts w:hint="eastAsia" w:ascii="宋体" w:hAnsi="宋体" w:eastAsia="宋体" w:cs="宋体"/>
          <w:sz w:val="24"/>
          <w:szCs w:val="32"/>
        </w:rPr>
      </w:pPr>
      <w:r>
        <w:rPr>
          <w:rFonts w:hint="eastAsia" w:ascii="宋体" w:hAnsi="宋体" w:eastAsia="宋体" w:cs="宋体"/>
          <w:sz w:val="24"/>
          <w:szCs w:val="32"/>
        </w:rPr>
        <w:t>5.项目说明</w:t>
      </w:r>
    </w:p>
    <w:p w14:paraId="6D2A1824">
      <w:pPr>
        <w:spacing w:line="360" w:lineRule="auto"/>
        <w:jc w:val="left"/>
        <w:rPr>
          <w:rFonts w:hint="eastAsia" w:ascii="宋体" w:hAnsi="宋体" w:eastAsia="宋体" w:cs="宋体"/>
          <w:sz w:val="24"/>
          <w:szCs w:val="32"/>
        </w:rPr>
      </w:pPr>
      <w:r>
        <w:rPr>
          <w:rFonts w:hint="eastAsia" w:ascii="宋体" w:hAnsi="宋体" w:eastAsia="宋体" w:cs="宋体"/>
          <w:sz w:val="24"/>
          <w:szCs w:val="32"/>
        </w:rPr>
        <w:t>【问题说明】</w:t>
      </w:r>
    </w:p>
    <w:p w14:paraId="21D5C0DD">
      <w:pPr>
        <w:spacing w:line="360" w:lineRule="auto"/>
        <w:jc w:val="left"/>
        <w:rPr>
          <w:rFonts w:hint="eastAsia" w:ascii="宋体" w:hAnsi="宋体" w:eastAsia="宋体" w:cs="宋体"/>
          <w:sz w:val="24"/>
          <w:szCs w:val="32"/>
        </w:rPr>
      </w:pPr>
      <w:r>
        <w:rPr>
          <w:rFonts w:hint="eastAsia" w:ascii="宋体" w:hAnsi="宋体" w:eastAsia="宋体" w:cs="宋体"/>
          <w:sz w:val="24"/>
          <w:szCs w:val="32"/>
        </w:rPr>
        <w:t>（1）用户画像与风险偏好建模问题</w:t>
      </w:r>
    </w:p>
    <w:p w14:paraId="11CD6ACE">
      <w:pPr>
        <w:spacing w:line="360" w:lineRule="auto"/>
        <w:jc w:val="left"/>
        <w:rPr>
          <w:rFonts w:hint="eastAsia" w:ascii="宋体" w:hAnsi="宋体" w:eastAsia="宋体" w:cs="宋体"/>
          <w:sz w:val="24"/>
          <w:szCs w:val="32"/>
        </w:rPr>
      </w:pPr>
      <w:r>
        <w:rPr>
          <w:rFonts w:hint="eastAsia" w:ascii="宋体" w:hAnsi="宋体" w:eastAsia="宋体" w:cs="宋体"/>
          <w:sz w:val="24"/>
          <w:szCs w:val="32"/>
        </w:rPr>
        <w:t>如何基于用户的投资历史、资产状况、风险偏好、预期收益率等多元信息，</w:t>
      </w:r>
    </w:p>
    <w:p w14:paraId="26D5A5DC">
      <w:pPr>
        <w:spacing w:line="360" w:lineRule="auto"/>
        <w:jc w:val="left"/>
        <w:rPr>
          <w:rFonts w:hint="eastAsia" w:ascii="宋体" w:hAnsi="宋体" w:eastAsia="宋体" w:cs="宋体"/>
          <w:sz w:val="24"/>
          <w:szCs w:val="32"/>
        </w:rPr>
      </w:pPr>
    </w:p>
    <w:p w14:paraId="44438645">
      <w:pPr>
        <w:spacing w:line="360" w:lineRule="auto"/>
        <w:jc w:val="left"/>
        <w:rPr>
          <w:rFonts w:hint="eastAsia" w:ascii="宋体" w:hAnsi="宋体" w:eastAsia="宋体" w:cs="宋体"/>
          <w:sz w:val="24"/>
          <w:szCs w:val="32"/>
        </w:rPr>
      </w:pPr>
      <w:r>
        <w:rPr>
          <w:rFonts w:hint="eastAsia" w:ascii="宋体" w:hAnsi="宋体" w:eastAsia="宋体" w:cs="宋体"/>
          <w:sz w:val="24"/>
          <w:szCs w:val="32"/>
        </w:rPr>
        <w:t>构建精准的用户画像模型，并将其转化为可量化、可追踪的投资偏好参数， 是实现个性化投顾服务的首要挑战。用户的风险承受能力、投资目标、持仓习惯、收益预期等信息往往分散在不同数据源中，且存在信息不对称与表达模糊性，如何通过大语言模型进行语义理解和信息抽取，生成准确的用户风险画像，并据此匹配适合的投资策略，是系统设计的核心挑战之一。</w:t>
      </w:r>
    </w:p>
    <w:p w14:paraId="73676D80">
      <w:pPr>
        <w:spacing w:line="360" w:lineRule="auto"/>
        <w:jc w:val="left"/>
        <w:rPr>
          <w:rFonts w:hint="eastAsia" w:ascii="宋体" w:hAnsi="宋体" w:eastAsia="宋体" w:cs="宋体"/>
          <w:sz w:val="24"/>
          <w:szCs w:val="32"/>
        </w:rPr>
      </w:pPr>
      <w:r>
        <w:rPr>
          <w:rFonts w:hint="eastAsia" w:ascii="宋体" w:hAnsi="宋体" w:eastAsia="宋体" w:cs="宋体"/>
          <w:sz w:val="24"/>
          <w:szCs w:val="32"/>
        </w:rPr>
        <w:t>（2）多投顾场景与多智能体协同决策问题</w:t>
      </w:r>
    </w:p>
    <w:p w14:paraId="6C01CD94">
      <w:pPr>
        <w:spacing w:line="360" w:lineRule="auto"/>
        <w:jc w:val="left"/>
        <w:rPr>
          <w:rFonts w:hint="eastAsia" w:ascii="宋体" w:hAnsi="宋体" w:eastAsia="宋体" w:cs="宋体"/>
          <w:sz w:val="24"/>
          <w:szCs w:val="32"/>
        </w:rPr>
      </w:pPr>
      <w:r>
        <w:rPr>
          <w:rFonts w:hint="eastAsia" w:ascii="宋体" w:hAnsi="宋体" w:eastAsia="宋体" w:cs="宋体"/>
          <w:sz w:val="24"/>
          <w:szCs w:val="32"/>
        </w:rPr>
        <w:t>证券投顾服务涉及大盘研判、行业/概念追踪、个股分析、 ETF 基金配置、可转债投资等多种业务场景，各场景的分析逻辑、数据来源、决策框架存在显著差异。如何基于同花顺问财 SkillHub 构建多智能体协同架构，实现宏观研究智能体、行业分析智能体、个股精选智能体、基金配置智能体等不同专长智能体的有机协作，在统一的投顾决策框架下保持分析的一致性与有效性，对多智能体协同决策提出了较高要求。如何设计合理的任务分解与结果聚合机制，实现“1+N ”的投顾智能体体系（即 1 个主协调智能体+N 个专业领域智能体），是系统架构的关键挑战。</w:t>
      </w:r>
    </w:p>
    <w:p w14:paraId="3FCDDACA">
      <w:pPr>
        <w:spacing w:line="360" w:lineRule="auto"/>
        <w:jc w:val="left"/>
        <w:rPr>
          <w:rFonts w:hint="eastAsia" w:ascii="宋体" w:hAnsi="宋体" w:eastAsia="宋体" w:cs="宋体"/>
          <w:sz w:val="24"/>
          <w:szCs w:val="32"/>
        </w:rPr>
      </w:pPr>
      <w:r>
        <w:rPr>
          <w:rFonts w:hint="eastAsia" w:ascii="宋体" w:hAnsi="宋体" w:eastAsia="宋体" w:cs="宋体"/>
          <w:sz w:val="24"/>
          <w:szCs w:val="32"/>
        </w:rPr>
        <w:t>（3）数据实时性、准确性与幻觉控制问题</w:t>
      </w:r>
    </w:p>
    <w:p w14:paraId="28988838">
      <w:pPr>
        <w:spacing w:line="360" w:lineRule="auto"/>
        <w:jc w:val="left"/>
        <w:rPr>
          <w:rFonts w:hint="eastAsia" w:ascii="宋体" w:hAnsi="宋体" w:eastAsia="宋体" w:cs="宋体"/>
          <w:sz w:val="24"/>
          <w:szCs w:val="32"/>
        </w:rPr>
      </w:pPr>
      <w:r>
        <w:rPr>
          <w:rFonts w:hint="eastAsia" w:ascii="宋体" w:hAnsi="宋体" w:eastAsia="宋体" w:cs="宋体"/>
          <w:sz w:val="24"/>
          <w:szCs w:val="32"/>
        </w:rPr>
        <w:t>证券投资对数据的实时性和准确性要求极高。市场行情、财务数据、政策信息、舆情动态等信息瞬息万变， 投资建议的时效性直接影响其价值。同时， 大语言模型存在产生“幻觉”（即生成看似合理但实际错误或虚假信息）的固有特性，在投资建议生成场景中可能编造不存在的财务数据、错误的估值指标或虚假的市场信息。如何确保智能体引用的数据来源可靠、实时更新， 如何建立幻觉检测与纠正机制，对数据质量控制和模型输出校验提出了严格要求，是投顾智能体落地的关键工程问题。</w:t>
      </w:r>
    </w:p>
    <w:p w14:paraId="21D6FD44">
      <w:pPr>
        <w:spacing w:line="360" w:lineRule="auto"/>
        <w:jc w:val="left"/>
        <w:rPr>
          <w:rFonts w:hint="eastAsia" w:ascii="宋体" w:hAnsi="宋体" w:eastAsia="宋体" w:cs="宋体"/>
          <w:sz w:val="24"/>
          <w:szCs w:val="32"/>
        </w:rPr>
      </w:pPr>
      <w:r>
        <w:rPr>
          <w:rFonts w:hint="eastAsia" w:ascii="宋体" w:hAnsi="宋体" w:eastAsia="宋体" w:cs="宋体"/>
          <w:sz w:val="24"/>
          <w:szCs w:val="32"/>
        </w:rPr>
        <w:t>（4）系统稳定性与高并发处理问题</w:t>
      </w:r>
    </w:p>
    <w:p w14:paraId="5AC83310">
      <w:pPr>
        <w:spacing w:line="360" w:lineRule="auto"/>
        <w:jc w:val="left"/>
        <w:rPr>
          <w:rFonts w:hint="eastAsia" w:ascii="宋体" w:hAnsi="宋体" w:eastAsia="宋体" w:cs="宋体"/>
          <w:sz w:val="24"/>
          <w:szCs w:val="32"/>
        </w:rPr>
      </w:pPr>
      <w:r>
        <w:rPr>
          <w:rFonts w:hint="eastAsia" w:ascii="宋体" w:hAnsi="宋体" w:eastAsia="宋体" w:cs="宋体"/>
          <w:sz w:val="24"/>
          <w:szCs w:val="32"/>
        </w:rPr>
        <w:t>证券投顾服务面向海量投资者，需要在高并发场景下保持稳定的响应能力和服务质量。不同用户可能同时咨询大盘走势、个股分析、交易策略等不同问题，系统需要具备高效的任务调度和负载均衡能力，确保各智能体在高并发请求下的稳定运行。同时， 市场剧烈波动时可能出现短时间内大量用户同时访问的极端情况，系统需要具备一定的容错降级机制，保证核心投顾服务的可用性与连续性。此外，如何在追求响应速度的同时兼顾投资建议的质量与合规性，是系统设计中需要权衡的重要问题。</w:t>
      </w:r>
    </w:p>
    <w:p w14:paraId="13A9BDE6">
      <w:pPr>
        <w:spacing w:line="360" w:lineRule="auto"/>
        <w:jc w:val="left"/>
        <w:rPr>
          <w:rFonts w:hint="eastAsia" w:ascii="宋体" w:hAnsi="宋体" w:eastAsia="宋体" w:cs="宋体"/>
          <w:sz w:val="24"/>
          <w:szCs w:val="32"/>
        </w:rPr>
      </w:pPr>
      <w:r>
        <w:rPr>
          <w:rFonts w:hint="eastAsia" w:ascii="宋体" w:hAnsi="宋体" w:eastAsia="宋体" w:cs="宋体"/>
          <w:sz w:val="24"/>
          <w:szCs w:val="32"/>
        </w:rPr>
        <w:t>【用户期望】</w:t>
      </w:r>
    </w:p>
    <w:p w14:paraId="2E1AD715">
      <w:pPr>
        <w:spacing w:line="360" w:lineRule="auto"/>
        <w:jc w:val="left"/>
        <w:rPr>
          <w:rFonts w:hint="eastAsia" w:ascii="宋体" w:hAnsi="宋体" w:eastAsia="宋体" w:cs="宋体"/>
          <w:sz w:val="24"/>
          <w:szCs w:val="32"/>
        </w:rPr>
      </w:pPr>
      <w:r>
        <w:rPr>
          <w:rFonts w:hint="eastAsia" w:ascii="宋体" w:hAnsi="宋体" w:eastAsia="宋体" w:cs="宋体"/>
          <w:sz w:val="24"/>
          <w:szCs w:val="32"/>
        </w:rPr>
        <w:t>面向证券投顾智能化升级领域， 我们期望参赛团队能够基于同花顺问财SkillHub 和第三方大模型，构建一个兼具工程完整性、智能化水平与实用价值的个性化证券投顾智能体系统。该系统应具备以下核心特征：</w:t>
      </w:r>
    </w:p>
    <w:p w14:paraId="110A7324">
      <w:pPr>
        <w:spacing w:line="360" w:lineRule="auto"/>
        <w:jc w:val="left"/>
        <w:rPr>
          <w:rFonts w:hint="eastAsia" w:ascii="宋体" w:hAnsi="宋体" w:eastAsia="宋体" w:cs="宋体"/>
          <w:sz w:val="24"/>
          <w:szCs w:val="32"/>
        </w:rPr>
      </w:pPr>
    </w:p>
    <w:p w14:paraId="1CB37D0C">
      <w:pPr>
        <w:spacing w:line="360" w:lineRule="auto"/>
        <w:jc w:val="left"/>
        <w:rPr>
          <w:rFonts w:hint="eastAsia" w:ascii="宋体" w:hAnsi="宋体" w:eastAsia="宋体" w:cs="宋体"/>
          <w:sz w:val="24"/>
          <w:szCs w:val="32"/>
        </w:rPr>
      </w:pPr>
      <w:r>
        <w:rPr>
          <w:rFonts w:hint="eastAsia" w:ascii="宋体" w:hAnsi="宋体" w:eastAsia="宋体" w:cs="宋体"/>
          <w:sz w:val="24"/>
          <w:szCs w:val="32"/>
        </w:rPr>
        <w:t>1. 个性化适配能力：系统应能够通过自然语言交互、问卷评估、历史持仓分析等多渠道理解用户的风险偏好、收益预期、投资期限等个性化需求，构建精准的用户画像，并据此生成匹配度更高的定制化投资建议与资产配置方案，而非泛泛的通用性投资指南。</w:t>
      </w:r>
    </w:p>
    <w:p w14:paraId="4A2DF46E">
      <w:pPr>
        <w:spacing w:line="360" w:lineRule="auto"/>
        <w:jc w:val="left"/>
        <w:rPr>
          <w:rFonts w:hint="eastAsia" w:ascii="宋体" w:hAnsi="宋体" w:eastAsia="宋体" w:cs="宋体"/>
          <w:sz w:val="24"/>
          <w:szCs w:val="32"/>
        </w:rPr>
      </w:pPr>
      <w:r>
        <w:rPr>
          <w:rFonts w:hint="eastAsia" w:ascii="宋体" w:hAnsi="宋体" w:eastAsia="宋体" w:cs="宋体"/>
          <w:sz w:val="24"/>
          <w:szCs w:val="32"/>
        </w:rPr>
        <w:t>2. 全场景覆盖能力：系统应能够支持大盘研判、行业配置、个股分析、ETF 基金筛选、可转债投资、资产组合优化等多种投顾业务场景， 通过多智能体协同机制为用户提供一站式、全方位的投资决策支持服务。</w:t>
      </w:r>
    </w:p>
    <w:p w14:paraId="237A55E3">
      <w:pPr>
        <w:spacing w:line="360" w:lineRule="auto"/>
        <w:jc w:val="left"/>
        <w:rPr>
          <w:rFonts w:hint="eastAsia" w:ascii="宋体" w:hAnsi="宋体" w:eastAsia="宋体" w:cs="宋体"/>
          <w:sz w:val="24"/>
          <w:szCs w:val="32"/>
        </w:rPr>
      </w:pPr>
      <w:r>
        <w:rPr>
          <w:rFonts w:hint="eastAsia" w:ascii="宋体" w:hAnsi="宋体" w:eastAsia="宋体" w:cs="宋体"/>
          <w:sz w:val="24"/>
          <w:szCs w:val="32"/>
        </w:rPr>
        <w:t>3. 高并发稳定能力：系统应具备支撑 100 人规模用户同时在线咨询的服务能力，在高并发场景下保持稳定响应，支持多用户并发调用各专业智能体，确保投顾服务的可用性与用户体验。</w:t>
      </w:r>
    </w:p>
    <w:p w14:paraId="0DB7EA95">
      <w:pPr>
        <w:spacing w:line="360" w:lineRule="auto"/>
        <w:jc w:val="left"/>
        <w:rPr>
          <w:rFonts w:hint="eastAsia" w:ascii="宋体" w:hAnsi="宋体" w:eastAsia="宋体" w:cs="宋体"/>
          <w:sz w:val="24"/>
          <w:szCs w:val="32"/>
        </w:rPr>
      </w:pPr>
      <w:r>
        <w:rPr>
          <w:rFonts w:hint="eastAsia" w:ascii="宋体" w:hAnsi="宋体" w:eastAsia="宋体" w:cs="宋体"/>
          <w:sz w:val="24"/>
          <w:szCs w:val="32"/>
        </w:rPr>
        <w:t>4. 可解释透明度：系统生成的投资建议应具备清晰的逻辑链条与可解释性，援引可靠的数据来源，揭示潜在风险因素，让用户能够理解建议背后的分析依据，而非黑箱式的结论输出。</w:t>
      </w:r>
    </w:p>
    <w:p w14:paraId="47CA5B04">
      <w:pPr>
        <w:spacing w:line="360" w:lineRule="auto"/>
        <w:jc w:val="left"/>
        <w:rPr>
          <w:rFonts w:hint="eastAsia" w:ascii="宋体" w:hAnsi="宋体" w:eastAsia="宋体" w:cs="宋体"/>
          <w:sz w:val="24"/>
          <w:szCs w:val="32"/>
        </w:rPr>
      </w:pPr>
      <w:r>
        <w:rPr>
          <w:rFonts w:hint="eastAsia" w:ascii="宋体" w:hAnsi="宋体" w:eastAsia="宋体" w:cs="宋体"/>
          <w:sz w:val="24"/>
          <w:szCs w:val="32"/>
        </w:rPr>
        <w:t>5. 合规安全保障：系统应内置完善的风控机制与合规审核流程，确保输出的投资建议符合证券监管要求，充分进行风险提示，保护投资者合法权益。</w:t>
      </w:r>
    </w:p>
    <w:p w14:paraId="50F48F69">
      <w:pPr>
        <w:spacing w:line="360" w:lineRule="auto"/>
        <w:jc w:val="left"/>
        <w:rPr>
          <w:rFonts w:hint="eastAsia" w:ascii="宋体" w:hAnsi="宋体" w:eastAsia="宋体" w:cs="宋体"/>
          <w:sz w:val="24"/>
          <w:szCs w:val="32"/>
        </w:rPr>
      </w:pPr>
      <w:r>
        <w:rPr>
          <w:rFonts w:hint="eastAsia" w:ascii="宋体" w:hAnsi="宋体" w:eastAsia="宋体" w:cs="宋体"/>
          <w:sz w:val="24"/>
          <w:szCs w:val="32"/>
        </w:rPr>
        <w:t>6.任务要求</w:t>
      </w:r>
    </w:p>
    <w:p w14:paraId="7FE40875">
      <w:pPr>
        <w:spacing w:line="360" w:lineRule="auto"/>
        <w:jc w:val="left"/>
        <w:rPr>
          <w:rFonts w:hint="eastAsia" w:ascii="宋体" w:hAnsi="宋体" w:eastAsia="宋体" w:cs="宋体"/>
          <w:sz w:val="24"/>
          <w:szCs w:val="32"/>
        </w:rPr>
      </w:pPr>
      <w:r>
        <w:rPr>
          <w:rFonts w:hint="eastAsia" w:ascii="宋体" w:hAnsi="宋体" w:eastAsia="宋体" w:cs="宋体"/>
          <w:sz w:val="24"/>
          <w:szCs w:val="32"/>
        </w:rPr>
        <w:t>【开发说明】</w:t>
      </w:r>
    </w:p>
    <w:p w14:paraId="31993938">
      <w:pPr>
        <w:spacing w:line="360" w:lineRule="auto"/>
        <w:jc w:val="left"/>
        <w:rPr>
          <w:rFonts w:hint="eastAsia" w:ascii="宋体" w:hAnsi="宋体" w:eastAsia="宋体" w:cs="宋体"/>
          <w:sz w:val="24"/>
          <w:szCs w:val="32"/>
        </w:rPr>
      </w:pPr>
      <w:r>
        <w:rPr>
          <w:rFonts w:hint="eastAsia" w:ascii="宋体" w:hAnsi="宋体" w:eastAsia="宋体" w:cs="宋体"/>
          <w:sz w:val="24"/>
          <w:szCs w:val="32"/>
        </w:rPr>
        <w:t>本命题要求参赛团队围绕"个性化证券投顾智能体系统"场景，基于同花顺问财 SkillHub 与第三方大模型，构建一套由大模型统一调度、多智能体协同服务的投顾决策系统</w:t>
      </w:r>
    </w:p>
    <w:p w14:paraId="535E3880">
      <w:pPr>
        <w:spacing w:line="360" w:lineRule="auto"/>
        <w:jc w:val="left"/>
        <w:rPr>
          <w:rFonts w:hint="eastAsia" w:ascii="宋体" w:hAnsi="宋体" w:eastAsia="宋体" w:cs="宋体"/>
          <w:sz w:val="24"/>
          <w:szCs w:val="32"/>
        </w:rPr>
      </w:pPr>
      <w:r>
        <w:rPr>
          <w:rFonts w:hint="eastAsia" w:ascii="宋体" w:hAnsi="宋体" w:eastAsia="宋体" w:cs="宋体"/>
          <w:sz w:val="24"/>
          <w:szCs w:val="32"/>
        </w:rPr>
        <w:t>【技术要求与指标】</w:t>
      </w:r>
    </w:p>
    <w:p w14:paraId="23C88E15">
      <w:pPr>
        <w:spacing w:line="360" w:lineRule="auto"/>
        <w:jc w:val="left"/>
        <w:rPr>
          <w:rFonts w:hint="eastAsia" w:ascii="宋体" w:hAnsi="宋体" w:eastAsia="宋体" w:cs="宋体"/>
          <w:sz w:val="24"/>
          <w:szCs w:val="32"/>
        </w:rPr>
      </w:pPr>
      <w:r>
        <w:rPr>
          <w:rFonts w:hint="eastAsia" w:ascii="宋体" w:hAnsi="宋体" w:eastAsia="宋体" w:cs="宋体"/>
          <w:sz w:val="24"/>
          <w:szCs w:val="32"/>
        </w:rPr>
        <w:t>（一）大模型认知与投资分析能力</w:t>
      </w:r>
    </w:p>
    <w:p w14:paraId="55FD1DFE">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基于第三方大模型完成投资主题分析与研判；</w:t>
      </w:r>
    </w:p>
    <w:p w14:paraId="0E752B05">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自动生成市场解读、行业追踪、个股推荐等投顾内容；</w:t>
      </w:r>
    </w:p>
    <w:p w14:paraId="77D10DB2">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支持投资逻辑的可解释性输出与风险提示。</w:t>
      </w:r>
    </w:p>
    <w:p w14:paraId="528BEFD8">
      <w:pPr>
        <w:spacing w:line="360" w:lineRule="auto"/>
        <w:jc w:val="left"/>
        <w:rPr>
          <w:rFonts w:hint="eastAsia" w:ascii="宋体" w:hAnsi="宋体" w:eastAsia="宋体" w:cs="宋体"/>
          <w:sz w:val="24"/>
          <w:szCs w:val="32"/>
        </w:rPr>
      </w:pPr>
      <w:r>
        <w:rPr>
          <w:rFonts w:hint="eastAsia" w:ascii="宋体" w:hAnsi="宋体" w:eastAsia="宋体" w:cs="宋体"/>
          <w:sz w:val="24"/>
          <w:szCs w:val="32"/>
        </w:rPr>
        <w:t>（二） 多智能体协同决策</w:t>
      </w:r>
    </w:p>
    <w:p w14:paraId="116D875B">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支持宏观研究、行业分析、个股研究、基金配置等多智能体协同；</w:t>
      </w:r>
    </w:p>
    <w:p w14:paraId="5EA07361">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支持投资建议的交叉验证与一致性校验；</w:t>
      </w:r>
    </w:p>
    <w:p w14:paraId="733CCBD0">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支持多任务并发处理与结果聚合。</w:t>
      </w:r>
    </w:p>
    <w:p w14:paraId="56BB1869">
      <w:pPr>
        <w:spacing w:line="360" w:lineRule="auto"/>
        <w:jc w:val="left"/>
        <w:rPr>
          <w:rFonts w:hint="eastAsia" w:ascii="宋体" w:hAnsi="宋体" w:eastAsia="宋体" w:cs="宋体"/>
          <w:sz w:val="24"/>
          <w:szCs w:val="32"/>
        </w:rPr>
      </w:pPr>
      <w:r>
        <w:rPr>
          <w:rFonts w:hint="eastAsia" w:ascii="宋体" w:hAnsi="宋体" w:eastAsia="宋体" w:cs="宋体"/>
          <w:sz w:val="24"/>
          <w:szCs w:val="32"/>
        </w:rPr>
        <w:t>（三） 数据实时性与准确性保障</w:t>
      </w:r>
    </w:p>
    <w:p w14:paraId="2F788342">
      <w:pPr>
        <w:spacing w:line="360" w:lineRule="auto"/>
        <w:jc w:val="left"/>
        <w:rPr>
          <w:rFonts w:hint="eastAsia" w:ascii="宋体" w:hAnsi="宋体" w:eastAsia="宋体" w:cs="宋体"/>
          <w:sz w:val="24"/>
          <w:szCs w:val="32"/>
        </w:rPr>
      </w:pPr>
    </w:p>
    <w:p w14:paraId="259DB4BD">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支持实时行情数据、财经新闻、研究报告等多源信息接入；</w:t>
      </w:r>
    </w:p>
    <w:p w14:paraId="0C2AB9DF">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建立数据溯源与幻觉检测机制，确保投资建议有据可查；</w:t>
      </w:r>
    </w:p>
    <w:p w14:paraId="10C9BA2E">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保证核心数据的延迟控制在秒级范围内。</w:t>
      </w:r>
    </w:p>
    <w:p w14:paraId="0A6570DB">
      <w:pPr>
        <w:spacing w:line="360" w:lineRule="auto"/>
        <w:jc w:val="left"/>
        <w:rPr>
          <w:rFonts w:hint="eastAsia" w:ascii="宋体" w:hAnsi="宋体" w:eastAsia="宋体" w:cs="宋体"/>
          <w:sz w:val="24"/>
          <w:szCs w:val="32"/>
        </w:rPr>
      </w:pPr>
      <w:r>
        <w:rPr>
          <w:rFonts w:hint="eastAsia" w:ascii="宋体" w:hAnsi="宋体" w:eastAsia="宋体" w:cs="宋体"/>
          <w:sz w:val="24"/>
          <w:szCs w:val="32"/>
        </w:rPr>
        <w:t>（四） 系统稳定性与高并发处理</w:t>
      </w:r>
    </w:p>
    <w:p w14:paraId="7F5FD2BC">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支持不少于 100 用户同时在线并发咨询；</w:t>
      </w:r>
    </w:p>
    <w:p w14:paraId="10DF742D">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单次投顾响应时间不超过 3 秒；</w:t>
      </w:r>
    </w:p>
    <w:p w14:paraId="68E925EC">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系统可用性达到 99.9%以上。</w:t>
      </w:r>
    </w:p>
    <w:p w14:paraId="4F893D0D">
      <w:pPr>
        <w:spacing w:line="360" w:lineRule="auto"/>
        <w:jc w:val="left"/>
        <w:rPr>
          <w:rFonts w:hint="eastAsia" w:ascii="宋体" w:hAnsi="宋体" w:eastAsia="宋体" w:cs="宋体"/>
          <w:sz w:val="24"/>
          <w:szCs w:val="32"/>
        </w:rPr>
      </w:pPr>
      <w:r>
        <w:rPr>
          <w:rFonts w:hint="eastAsia" w:ascii="宋体" w:hAnsi="宋体" w:eastAsia="宋体" w:cs="宋体"/>
          <w:sz w:val="24"/>
          <w:szCs w:val="32"/>
        </w:rPr>
        <w:t>（五） 可视化与交互体验</w:t>
      </w:r>
    </w:p>
    <w:p w14:paraId="09ADC16F">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提供投资分析过程与结论的可视化展示界面；</w:t>
      </w:r>
    </w:p>
    <w:p w14:paraId="680FD5A8">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支持多轮对话、追问澄清、上下文记忆等交互功能；</w:t>
      </w:r>
    </w:p>
    <w:p w14:paraId="100C1BC4">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鼓励展示智能体协作过程与投资逻辑推导的可解释性。</w:t>
      </w:r>
    </w:p>
    <w:p w14:paraId="4D6CC49C">
      <w:pPr>
        <w:spacing w:line="360" w:lineRule="auto"/>
        <w:jc w:val="left"/>
        <w:rPr>
          <w:rFonts w:hint="eastAsia" w:ascii="宋体" w:hAnsi="宋体" w:eastAsia="宋体" w:cs="宋体"/>
          <w:sz w:val="24"/>
          <w:szCs w:val="32"/>
        </w:rPr>
      </w:pPr>
      <w:r>
        <w:rPr>
          <w:rFonts w:hint="eastAsia" w:ascii="宋体" w:hAnsi="宋体" w:eastAsia="宋体" w:cs="宋体"/>
          <w:sz w:val="24"/>
          <w:szCs w:val="32"/>
        </w:rPr>
        <w:t>【提交材料】</w:t>
      </w:r>
    </w:p>
    <w:p w14:paraId="5FC56796">
      <w:pPr>
        <w:spacing w:line="360" w:lineRule="auto"/>
        <w:jc w:val="left"/>
        <w:rPr>
          <w:rFonts w:hint="eastAsia" w:ascii="宋体" w:hAnsi="宋体" w:eastAsia="宋体" w:cs="宋体"/>
          <w:sz w:val="24"/>
          <w:szCs w:val="32"/>
        </w:rPr>
      </w:pPr>
      <w:r>
        <w:rPr>
          <w:rFonts w:hint="eastAsia" w:ascii="宋体" w:hAnsi="宋体" w:eastAsia="宋体" w:cs="宋体"/>
          <w:sz w:val="24"/>
          <w:szCs w:val="32"/>
        </w:rPr>
        <w:t>1.项目概要介绍；</w:t>
      </w:r>
    </w:p>
    <w:p w14:paraId="668D6906">
      <w:pPr>
        <w:spacing w:line="360" w:lineRule="auto"/>
        <w:jc w:val="left"/>
        <w:rPr>
          <w:rFonts w:hint="eastAsia" w:ascii="宋体" w:hAnsi="宋体" w:eastAsia="宋体" w:cs="宋体"/>
          <w:sz w:val="24"/>
          <w:szCs w:val="32"/>
        </w:rPr>
      </w:pPr>
      <w:r>
        <w:rPr>
          <w:rFonts w:hint="eastAsia" w:ascii="宋体" w:hAnsi="宋体" w:eastAsia="宋体" w:cs="宋体"/>
          <w:sz w:val="24"/>
          <w:szCs w:val="32"/>
        </w:rPr>
        <w:t>2.项目简介 PPT；</w:t>
      </w:r>
    </w:p>
    <w:p w14:paraId="4E4689E0">
      <w:pPr>
        <w:spacing w:line="360" w:lineRule="auto"/>
        <w:jc w:val="left"/>
        <w:rPr>
          <w:rFonts w:hint="eastAsia" w:ascii="宋体" w:hAnsi="宋体" w:eastAsia="宋体" w:cs="宋体"/>
          <w:sz w:val="24"/>
          <w:szCs w:val="32"/>
        </w:rPr>
      </w:pPr>
      <w:r>
        <w:rPr>
          <w:rFonts w:hint="eastAsia" w:ascii="宋体" w:hAnsi="宋体" w:eastAsia="宋体" w:cs="宋体"/>
          <w:sz w:val="24"/>
          <w:szCs w:val="32"/>
        </w:rPr>
        <w:t>3.项目详细方案；</w:t>
      </w:r>
    </w:p>
    <w:p w14:paraId="7E26ED88">
      <w:pPr>
        <w:spacing w:line="360" w:lineRule="auto"/>
        <w:jc w:val="left"/>
        <w:rPr>
          <w:rFonts w:hint="eastAsia" w:ascii="宋体" w:hAnsi="宋体" w:eastAsia="宋体" w:cs="宋体"/>
          <w:sz w:val="24"/>
          <w:szCs w:val="32"/>
        </w:rPr>
      </w:pPr>
      <w:r>
        <w:rPr>
          <w:rFonts w:hint="eastAsia" w:ascii="宋体" w:hAnsi="宋体" w:eastAsia="宋体" w:cs="宋体"/>
          <w:sz w:val="24"/>
          <w:szCs w:val="32"/>
        </w:rPr>
        <w:t>4.项目演示视频；</w:t>
      </w:r>
    </w:p>
    <w:p w14:paraId="70740EC5">
      <w:pPr>
        <w:spacing w:line="360" w:lineRule="auto"/>
        <w:jc w:val="left"/>
        <w:rPr>
          <w:rFonts w:hint="eastAsia" w:ascii="宋体" w:hAnsi="宋体" w:eastAsia="宋体" w:cs="宋体"/>
          <w:sz w:val="24"/>
          <w:szCs w:val="32"/>
        </w:rPr>
      </w:pPr>
      <w:r>
        <w:rPr>
          <w:rFonts w:hint="eastAsia" w:ascii="宋体" w:hAnsi="宋体" w:eastAsia="宋体" w:cs="宋体"/>
          <w:sz w:val="24"/>
          <w:szCs w:val="32"/>
        </w:rPr>
        <w:t>5.企业要求提交的材料：</w:t>
      </w:r>
    </w:p>
    <w:p w14:paraId="1BCA5A94">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产品使用说明文档（系统架构与流程说明）；</w:t>
      </w:r>
    </w:p>
    <w:p w14:paraId="038EDE36">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系统测试报告；</w:t>
      </w:r>
    </w:p>
    <w:p w14:paraId="74943055">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项目分工、开发过程与训练记录文档；</w:t>
      </w:r>
    </w:p>
    <w:p w14:paraId="7DDFC3AE">
      <w:pPr>
        <w:spacing w:line="360" w:lineRule="auto"/>
        <w:jc w:val="left"/>
        <w:rPr>
          <w:rFonts w:hint="eastAsia" w:ascii="宋体" w:hAnsi="宋体" w:eastAsia="宋体" w:cs="宋体"/>
          <w:sz w:val="24"/>
          <w:szCs w:val="32"/>
        </w:rPr>
      </w:pPr>
      <w:r>
        <w:rPr>
          <w:rFonts w:hint="eastAsia" w:ascii="宋体" w:hAnsi="宋体" w:eastAsia="宋体" w:cs="宋体"/>
          <w:sz w:val="24"/>
          <w:szCs w:val="32"/>
        </w:rPr>
        <w:t>6.团队自愿提交的其他补充材料。</w:t>
      </w:r>
    </w:p>
    <w:p w14:paraId="79F73215">
      <w:pPr>
        <w:spacing w:line="360" w:lineRule="auto"/>
        <w:jc w:val="left"/>
        <w:rPr>
          <w:rFonts w:hint="eastAsia" w:ascii="宋体" w:hAnsi="宋体" w:eastAsia="宋体" w:cs="宋体"/>
          <w:sz w:val="24"/>
          <w:szCs w:val="32"/>
        </w:rPr>
      </w:pPr>
      <w:r>
        <w:rPr>
          <w:rFonts w:hint="eastAsia" w:ascii="宋体" w:hAnsi="宋体" w:eastAsia="宋体" w:cs="宋体"/>
          <w:sz w:val="24"/>
          <w:szCs w:val="32"/>
        </w:rPr>
        <w:t>【任务清单】</w:t>
      </w:r>
    </w:p>
    <w:p w14:paraId="50F7B43D">
      <w:pPr>
        <w:spacing w:line="360" w:lineRule="auto"/>
        <w:jc w:val="left"/>
        <w:rPr>
          <w:rFonts w:hint="eastAsia" w:ascii="宋体" w:hAnsi="宋体" w:eastAsia="宋体" w:cs="宋体"/>
          <w:sz w:val="24"/>
          <w:szCs w:val="32"/>
        </w:rPr>
      </w:pPr>
      <w:r>
        <w:rPr>
          <w:rFonts w:hint="eastAsia" w:ascii="宋体" w:hAnsi="宋体" w:eastAsia="宋体" w:cs="宋体"/>
          <w:sz w:val="24"/>
          <w:szCs w:val="32"/>
        </w:rPr>
        <w:t>包括但不限于以下功能：</w:t>
      </w:r>
    </w:p>
    <w:p w14:paraId="1817C4B5">
      <w:pPr>
        <w:spacing w:line="360" w:lineRule="auto"/>
        <w:jc w:val="left"/>
        <w:rPr>
          <w:rFonts w:hint="eastAsia" w:ascii="宋体" w:hAnsi="宋体" w:eastAsia="宋体" w:cs="宋体"/>
          <w:sz w:val="24"/>
          <w:szCs w:val="32"/>
        </w:rPr>
      </w:pPr>
      <w:r>
        <w:rPr>
          <w:rFonts w:hint="eastAsia" w:ascii="宋体" w:hAnsi="宋体" w:eastAsia="宋体" w:cs="宋体"/>
          <w:sz w:val="24"/>
          <w:szCs w:val="32"/>
        </w:rPr>
        <w:t>（1）用户画像与风险偏好分析</w:t>
      </w:r>
    </w:p>
    <w:p w14:paraId="5CD3405D">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基于用户输入、问卷评估、持仓历史等信息构建用户画像模型；</w:t>
      </w:r>
    </w:p>
    <w:p w14:paraId="69098F07">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自动完成风险偏好识别、收益预期分析、投资期限规划；</w:t>
      </w:r>
    </w:p>
    <w:p w14:paraId="6B6B8076">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生成可视化的用户风险画像报告。</w:t>
      </w:r>
    </w:p>
    <w:p w14:paraId="2BDCA0FF">
      <w:pPr>
        <w:spacing w:line="360" w:lineRule="auto"/>
        <w:jc w:val="left"/>
        <w:rPr>
          <w:rFonts w:hint="eastAsia" w:ascii="宋体" w:hAnsi="宋体" w:eastAsia="宋体" w:cs="宋体"/>
          <w:sz w:val="24"/>
          <w:szCs w:val="32"/>
        </w:rPr>
      </w:pPr>
    </w:p>
    <w:p w14:paraId="5C3A443A">
      <w:pPr>
        <w:spacing w:line="360" w:lineRule="auto"/>
        <w:jc w:val="left"/>
        <w:rPr>
          <w:rFonts w:hint="eastAsia" w:ascii="宋体" w:hAnsi="宋体" w:eastAsia="宋体" w:cs="宋体"/>
          <w:sz w:val="24"/>
          <w:szCs w:val="32"/>
        </w:rPr>
      </w:pPr>
      <w:r>
        <w:rPr>
          <w:rFonts w:hint="eastAsia" w:ascii="宋体" w:hAnsi="宋体" w:eastAsia="宋体" w:cs="宋体"/>
          <w:sz w:val="24"/>
          <w:szCs w:val="32"/>
        </w:rPr>
        <w:t>（2）多场景投顾分析与建议生成</w:t>
      </w:r>
    </w:p>
    <w:p w14:paraId="3A3A68CB">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支持大盘研判、行业配置、个股分析、 ETF 基金筛选、可转债投资等多种业务场景；</w:t>
      </w:r>
    </w:p>
    <w:p w14:paraId="06271F4F">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从海量财经数据中提取关键信息，生成结构化投资分析报告；</w:t>
      </w:r>
    </w:p>
    <w:p w14:paraId="4A0E3586">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结合用户画像生成个性化投资建议与资产配置方案。</w:t>
      </w:r>
    </w:p>
    <w:p w14:paraId="71E2AE78">
      <w:pPr>
        <w:spacing w:line="360" w:lineRule="auto"/>
        <w:jc w:val="left"/>
        <w:rPr>
          <w:rFonts w:hint="eastAsia" w:ascii="宋体" w:hAnsi="宋体" w:eastAsia="宋体" w:cs="宋体"/>
          <w:sz w:val="24"/>
          <w:szCs w:val="32"/>
        </w:rPr>
      </w:pPr>
      <w:r>
        <w:rPr>
          <w:rFonts w:hint="eastAsia" w:ascii="宋体" w:hAnsi="宋体" w:eastAsia="宋体" w:cs="宋体"/>
          <w:sz w:val="24"/>
          <w:szCs w:val="32"/>
        </w:rPr>
        <w:t>（3）多智能体协同决策</w:t>
      </w:r>
    </w:p>
    <w:p w14:paraId="005DA46A">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实现宏观研究、行业追踪、个股精选、基金配置等专业智能体的协同工作；</w:t>
      </w:r>
      <w:bookmarkStart w:id="0" w:name="_GoBack"/>
      <w:bookmarkEnd w:id="0"/>
    </w:p>
    <w:p w14:paraId="1E31FE57">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支持投资逻辑的交叉验证与分歧处理机制；</w:t>
      </w:r>
    </w:p>
    <w:p w14:paraId="56F166AE">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支持多智能体投票决策或主协调智能体汇总决策模式。</w:t>
      </w:r>
    </w:p>
    <w:p w14:paraId="33AEDDBA">
      <w:pPr>
        <w:spacing w:line="360" w:lineRule="auto"/>
        <w:jc w:val="left"/>
        <w:rPr>
          <w:rFonts w:hint="eastAsia" w:ascii="宋体" w:hAnsi="宋体" w:eastAsia="宋体" w:cs="宋体"/>
          <w:sz w:val="24"/>
          <w:szCs w:val="32"/>
        </w:rPr>
      </w:pPr>
      <w:r>
        <w:rPr>
          <w:rFonts w:hint="eastAsia" w:ascii="宋体" w:hAnsi="宋体" w:eastAsia="宋体" w:cs="宋体"/>
          <w:sz w:val="24"/>
          <w:szCs w:val="32"/>
        </w:rPr>
        <w:t>（4）投资建议可视化与解释系统</w:t>
      </w:r>
    </w:p>
    <w:p w14:paraId="42AF7209">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提供投资分析过程与结论的可视化面板；</w:t>
      </w:r>
    </w:p>
    <w:p w14:paraId="03AF05D8">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支持投资逻辑链的逐级展开与数据溯源；</w:t>
      </w:r>
    </w:p>
    <w:p w14:paraId="04DFD7E8">
      <w:pPr>
        <w:spacing w:line="360" w:lineRule="auto"/>
        <w:jc w:val="left"/>
        <w:rPr>
          <w:rFonts w:hint="eastAsia" w:ascii="宋体" w:hAnsi="宋体" w:eastAsia="宋体" w:cs="宋体"/>
          <w:sz w:val="24"/>
          <w:szCs w:val="32"/>
        </w:rPr>
      </w:pPr>
      <w:r>
        <w:rPr>
          <w:rFonts w:hint="eastAsia" w:ascii="宋体" w:hAnsi="宋体" w:eastAsia="宋体" w:cs="宋体"/>
          <w:sz w:val="24"/>
          <w:szCs w:val="32"/>
        </w:rPr>
        <w:t xml:space="preserve">  包含风险提示、收益预期、仓位建议等核心信息的清晰展示。</w:t>
      </w:r>
    </w:p>
    <w:p w14:paraId="4B368E40">
      <w:pPr>
        <w:spacing w:line="360" w:lineRule="auto"/>
        <w:jc w:val="left"/>
        <w:rPr>
          <w:rFonts w:hint="eastAsia" w:ascii="宋体" w:hAnsi="宋体" w:eastAsia="宋体" w:cs="宋体"/>
          <w:sz w:val="24"/>
          <w:szCs w:val="32"/>
        </w:rPr>
      </w:pPr>
      <w:r>
        <w:rPr>
          <w:rFonts w:hint="eastAsia" w:ascii="宋体" w:hAnsi="宋体" w:eastAsia="宋体" w:cs="宋体"/>
          <w:sz w:val="24"/>
          <w:szCs w:val="32"/>
        </w:rPr>
        <w:t>【开发工具与数据接口】</w:t>
      </w:r>
    </w:p>
    <w:p w14:paraId="0F22DCD5">
      <w:pPr>
        <w:spacing w:line="360" w:lineRule="auto"/>
        <w:jc w:val="left"/>
        <w:rPr>
          <w:rFonts w:hint="eastAsia" w:ascii="宋体" w:hAnsi="宋体" w:eastAsia="宋体" w:cs="宋体"/>
          <w:sz w:val="24"/>
          <w:szCs w:val="32"/>
        </w:rPr>
      </w:pPr>
      <w:r>
        <w:rPr>
          <w:rFonts w:hint="eastAsia" w:ascii="宋体" w:hAnsi="宋体" w:eastAsia="宋体" w:cs="宋体"/>
          <w:sz w:val="24"/>
          <w:szCs w:val="32"/>
        </w:rPr>
        <w:t>同花顺问财 skillhub:https://www.iwencai.com/unifiedwap/skillhub</w:t>
      </w:r>
    </w:p>
    <w:p w14:paraId="5F94369B">
      <w:pPr>
        <w:spacing w:line="360" w:lineRule="auto"/>
        <w:jc w:val="left"/>
        <w:rPr>
          <w:rFonts w:hint="eastAsia" w:ascii="宋体" w:hAnsi="宋体" w:eastAsia="宋体" w:cs="宋体"/>
          <w:sz w:val="24"/>
          <w:szCs w:val="32"/>
        </w:rPr>
      </w:pPr>
      <w:r>
        <w:rPr>
          <w:rFonts w:hint="eastAsia" w:ascii="宋体" w:hAnsi="宋体" w:eastAsia="宋体" w:cs="宋体"/>
          <w:sz w:val="24"/>
          <w:szCs w:val="32"/>
        </w:rPr>
        <w:t>7.评分要点</w:t>
      </w:r>
    </w:p>
    <w:p w14:paraId="298A8B06">
      <w:pPr>
        <w:spacing w:line="360" w:lineRule="auto"/>
        <w:jc w:val="left"/>
        <w:rPr>
          <w:rFonts w:hint="eastAsia" w:ascii="宋体" w:hAnsi="宋体" w:eastAsia="宋体" w:cs="宋体"/>
          <w:sz w:val="24"/>
          <w:szCs w:val="32"/>
        </w:rPr>
      </w:pPr>
      <w:r>
        <w:rPr>
          <w:rFonts w:hint="eastAsia" w:ascii="宋体" w:hAnsi="宋体" w:eastAsia="宋体" w:cs="宋体"/>
          <w:sz w:val="24"/>
          <w:szCs w:val="32"/>
        </w:rPr>
        <w:t>赛题评分要点见附件一：A 类企业命题初赛统一评分标准。</w:t>
      </w:r>
    </w:p>
    <w:p w14:paraId="2879445E">
      <w:pPr>
        <w:spacing w:line="360" w:lineRule="auto"/>
        <w:jc w:val="left"/>
        <w:rPr>
          <w:rFonts w:hint="eastAsia" w:ascii="宋体" w:hAnsi="宋体" w:eastAsia="宋体" w:cs="宋体"/>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0D64BB"/>
    <w:rsid w:val="180D64BB"/>
    <w:rsid w:val="323971F4"/>
    <w:rsid w:val="70F640AA"/>
    <w:rsid w:val="73A81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2026-09-15T10:52:00Z</dcterms:created>
  <dc:creator>李哲剑</dc:creator>
  <cp:lastModifiedBy>李哲剑</cp:lastModifiedBy>
  <dcterms:modified xsi:type="dcterms:W3CDTF">2026-09-15T11:01:57Z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EEE89DB858C04192A7E27D8398D75E3E_13</vt:lpwstr>
  </property>
  <property fmtid="{D5CDD505-2E9C-101B-9397-08002B2CF9AE}" pid="4" name="KSOTemplateDocerSaveRecord">
    <vt:lpwstr>eyJoZGlkIjoiNzI0ZjE3ZTNlNWMzOGJlMjI2YTgxM2RlNjA0MThiZjEiLCJ1c2VySWQiOiIxNzg2Nzc1NzcxIn0=</vt:lpwstr>
  </property>
</Properties>
</file>