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 w:line="283" w:lineRule="auto"/>
        <w:jc w:val="center"/>
      </w:pPr>
      <w:r>
        <w:rPr>
          <w:rFonts w:ascii="Heiti SC" w:hAnsi="Heiti SC" w:eastAsia="Heiti SC"/>
          <w:b/>
          <w:color w:val="1F4D78"/>
          <w:sz w:val="48"/>
        </w:rPr>
        <w:t>企业风控系统操作手册</w:t>
      </w:r>
    </w:p>
    <w:p>
      <w:pPr>
        <w:spacing w:before="0" w:after="400" w:line="283" w:lineRule="auto"/>
        <w:jc w:val="center"/>
      </w:pPr>
      <w:r>
        <w:rPr>
          <w:rFonts w:ascii="Heiti SC" w:hAnsi="Heiti SC" w:eastAsia="Heiti SC"/>
          <w:b w:val="0"/>
          <w:color w:val="555555"/>
          <w:sz w:val="24"/>
        </w:rPr>
        <w:t>面向系统管理员（销售总监）与销售经理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9360" w:type="dxa"/>
            <w:shd w:fill="F2F4F7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使用范围：</w:t>
            </w:r>
            <w:r>
              <w:rPr>
                <w:rFonts w:ascii="Heiti SC" w:hAnsi="Heiti SC" w:eastAsia="Heiti SC"/>
                <w:b w:val="0"/>
                <w:sz w:val="21"/>
              </w:rPr>
              <w:t>本手册用于企业风险监测系统日常配置、企业维护、数据采集和风险通知接收。系统菜单及按钮会根据账号权限显示。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3000" w:type="dxa"/>
            <w:shd w:fill="E8EEF5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角色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6360" w:type="dxa"/>
            <w:shd w:fill="E8EEF5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主要工作</w:t>
            </w:r>
          </w:p>
        </w:tc>
      </w:tr>
      <w:tr>
        <w:tc>
          <w:tcPr>
            <w:tcW w:type="dxa" w:w="30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系统管理员（销售总监）</w:t>
            </w:r>
          </w:p>
        </w:tc>
        <w:tc>
          <w:tcPr>
            <w:tcW w:type="dxa" w:w="63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配置风险等级、风控密钥、企业微信群机器人、系统账号和角色权限</w:t>
            </w:r>
          </w:p>
        </w:tc>
      </w:tr>
      <w:tr>
        <w:tc>
          <w:tcPr>
            <w:tcW w:type="dxa" w:w="30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销售经理</w:t>
            </w:r>
          </w:p>
        </w:tc>
        <w:tc>
          <w:tcPr>
            <w:tcW w:type="dxa" w:w="63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新增/导入企业、开启监测、执行或等待批量采集、查看风险详情和接收通知</w:t>
            </w:r>
          </w:p>
        </w:tc>
      </w:tr>
    </w:tbl>
    <w:p>
      <w:pPr>
        <w:spacing w:after="20"/>
      </w:pPr>
    </w:p>
    <w:p>
      <w:pPr>
        <w:spacing w:before="0" w:after="0" w:line="283" w:lineRule="auto"/>
      </w:pPr>
      <w:r>
        <w:rPr>
          <w:rFonts w:ascii="Heiti SC" w:hAnsi="Heiti SC" w:eastAsia="Heiti SC"/>
          <w:b w:val="0"/>
          <w:color w:val="666666"/>
          <w:sz w:val="18"/>
        </w:rPr>
        <w:t>版本说明：本手册依据当前项目实现编写。正式上线后如菜单名称或权限有调整，以系统界面为准。</w:t>
      </w:r>
    </w:p>
    <w:p>
      <w:pPr>
        <w:keepNext/>
        <w:spacing w:before="320" w:after="160"/>
      </w:pPr>
      <w:r>
        <w:rPr>
          <w:rFonts w:ascii="Heiti SC" w:hAnsi="Heiti SC" w:eastAsia="Heiti SC"/>
          <w:b/>
          <w:color w:val="2E74B5"/>
          <w:sz w:val="32"/>
        </w:rPr>
        <w:t>一、登录与通用说明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打开企业风控系统，输入登录账号和密码后进入首页。首次登录或管理员重置密码后，请按系统提示修改密码。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左侧菜单包括：企业风控、风险等级、风控密钥、群机器人、系统账号、角色管理；无权限的菜单不会显示。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企业的唯一识别依据是统一社会信用代码。录入前请优先核对该代码，避免把同一企业建立成多条记录。</w:t>
      </w:r>
    </w:p>
    <w:p>
      <w:pPr>
        <w:keepNext/>
        <w:spacing w:before="320" w:after="160"/>
      </w:pPr>
      <w:r>
        <w:rPr>
          <w:rFonts w:ascii="Heiti SC" w:hAnsi="Heiti SC" w:eastAsia="Heiti SC"/>
          <w:b/>
          <w:color w:val="2E74B5"/>
          <w:sz w:val="32"/>
        </w:rPr>
        <w:t>二、系统管理员操作手册</w:t>
      </w:r>
    </w:p>
    <w:p>
      <w:pPr>
        <w:keepNext/>
        <w:spacing w:before="240" w:after="120"/>
      </w:pPr>
      <w:r>
        <w:rPr>
          <w:rFonts w:ascii="Heiti SC" w:hAnsi="Heiti SC" w:eastAsia="Heiti SC"/>
          <w:b/>
          <w:color w:val="2E74B5"/>
          <w:sz w:val="26"/>
        </w:rPr>
        <w:t>2.1 配置风险等级（重点）</w:t>
      </w:r>
    </w:p>
    <w:p>
      <w:pPr>
        <w:spacing w:before="0" w:after="120" w:line="283" w:lineRule="auto"/>
      </w:pPr>
      <w:r>
        <w:rPr>
          <w:rFonts w:ascii="Heiti SC" w:hAnsi="Heiti SC" w:eastAsia="Heiti SC"/>
          <w:b w:val="0"/>
          <w:sz w:val="21"/>
        </w:rPr>
        <w:t>进入“风险等级”，分别切换“企业客户、政府单位、其它机构”三个主体类型页签，为风险因素设置等级并选择是否启用。保存后，新一轮采集会按最新配置判定。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800"/>
        <w:gridCol w:w="6560"/>
      </w:tblGrid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2800" w:type="dxa"/>
            <w:shd w:fill="E8EEF5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风险因素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6560" w:type="dxa"/>
            <w:shd w:fill="E8EEF5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业务含义</w:t>
            </w:r>
          </w:p>
        </w:tc>
      </w:tr>
      <w:tr>
        <w:tc>
          <w:tcPr>
            <w:tcW w:type="dxa" w:w="28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失信被执行人</w:t>
            </w:r>
          </w:p>
        </w:tc>
        <w:tc>
          <w:tcPr>
            <w:tcW w:type="dxa" w:w="65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企业是否被列入失信被执行人相关名单</w:t>
            </w:r>
          </w:p>
        </w:tc>
      </w:tr>
      <w:tr>
        <w:tc>
          <w:tcPr>
            <w:tcW w:type="dxa" w:w="28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被执行人</w:t>
            </w:r>
          </w:p>
        </w:tc>
        <w:tc>
          <w:tcPr>
            <w:tcW w:type="dxa" w:w="65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企业是否存在被执行记录</w:t>
            </w:r>
          </w:p>
        </w:tc>
      </w:tr>
      <w:tr>
        <w:tc>
          <w:tcPr>
            <w:tcW w:type="dxa" w:w="28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司法风险</w:t>
            </w:r>
          </w:p>
        </w:tc>
        <w:tc>
          <w:tcPr>
            <w:tcW w:type="dxa" w:w="65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企业是否命中司法案件等风险信息</w:t>
            </w:r>
          </w:p>
        </w:tc>
      </w:tr>
      <w:tr>
        <w:tc>
          <w:tcPr>
            <w:tcW w:type="dxa" w:w="28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限制消费令</w:t>
            </w:r>
          </w:p>
        </w:tc>
        <w:tc>
          <w:tcPr>
            <w:tcW w:type="dxa" w:w="65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企业是否存在限制消费令信息</w:t>
            </w:r>
          </w:p>
        </w:tc>
      </w:tr>
      <w:tr>
        <w:tc>
          <w:tcPr>
            <w:tcW w:type="dxa" w:w="28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立案信息</w:t>
            </w:r>
          </w:p>
        </w:tc>
        <w:tc>
          <w:tcPr>
            <w:tcW w:type="dxa" w:w="65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企业是否存在立案信息</w:t>
            </w:r>
          </w:p>
        </w:tc>
      </w:tr>
      <w:tr>
        <w:tc>
          <w:tcPr>
            <w:tcW w:type="dxa" w:w="28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空壳公司识别</w:t>
            </w:r>
          </w:p>
        </w:tc>
        <w:tc>
          <w:tcPr>
            <w:tcW w:type="dxa" w:w="65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系统是否识别为空壳公司特征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9360" w:type="dxa"/>
            <w:shd w:fill="FFF6E5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color w:val="7A5A00"/>
                <w:sz w:val="21"/>
              </w:rPr>
              <w:t>识别规则：</w:t>
            </w:r>
            <w:r>
              <w:rPr>
                <w:rFonts w:ascii="Heiti SC" w:hAnsi="Heiti SC" w:eastAsia="Heiti SC"/>
                <w:b w:val="0"/>
                <w:sz w:val="21"/>
              </w:rPr>
              <w:t>仅统计“已启用且本次采集成功”的风险因素。只要命中一个因素，就会产生风险提示；企业最终等级取所有命中因素中的最高等级。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3000" w:type="dxa"/>
            <w:shd w:fill="E8EEF5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显示结果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6360" w:type="dxa"/>
            <w:shd w:fill="E8EEF5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含义</w:t>
            </w:r>
          </w:p>
        </w:tc>
      </w:tr>
      <w:tr>
        <w:tc>
          <w:tcPr>
            <w:tcW w:type="dxa" w:w="30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严重风险 / CRITICAL</w:t>
            </w:r>
          </w:p>
        </w:tc>
        <w:tc>
          <w:tcPr>
            <w:tcW w:type="dxa" w:w="63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命中因素中最高等级为严重风险</w:t>
            </w:r>
          </w:p>
        </w:tc>
      </w:tr>
      <w:tr>
        <w:tc>
          <w:tcPr>
            <w:tcW w:type="dxa" w:w="30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高风险 / HIGH</w:t>
            </w:r>
          </w:p>
        </w:tc>
        <w:tc>
          <w:tcPr>
            <w:tcW w:type="dxa" w:w="63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未命中严重风险，但命中高风险</w:t>
            </w:r>
          </w:p>
        </w:tc>
      </w:tr>
      <w:tr>
        <w:tc>
          <w:tcPr>
            <w:tcW w:type="dxa" w:w="30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中风险 / MEDIUM</w:t>
            </w:r>
          </w:p>
        </w:tc>
        <w:tc>
          <w:tcPr>
            <w:tcW w:type="dxa" w:w="63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未命中更高等级，但命中中风险</w:t>
            </w:r>
          </w:p>
        </w:tc>
      </w:tr>
      <w:tr>
        <w:tc>
          <w:tcPr>
            <w:tcW w:type="dxa" w:w="30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低风险 / LOW</w:t>
            </w:r>
          </w:p>
        </w:tc>
        <w:tc>
          <w:tcPr>
            <w:tcW w:type="dxa" w:w="63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仅命中低风险因素</w:t>
            </w:r>
          </w:p>
        </w:tc>
      </w:tr>
      <w:tr>
        <w:tc>
          <w:tcPr>
            <w:tcW w:type="dxa" w:w="30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风险等级*n</w:t>
            </w:r>
          </w:p>
        </w:tc>
        <w:tc>
          <w:tcPr>
            <w:tcW w:type="dxa" w:w="63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同一等级命中 n 个因素，例如“高风险*2”</w:t>
            </w:r>
          </w:p>
        </w:tc>
      </w:tr>
      <w:tr>
        <w:tc>
          <w:tcPr>
            <w:tcW w:type="dxa" w:w="30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无风险 / NONE</w:t>
            </w:r>
          </w:p>
        </w:tc>
        <w:tc>
          <w:tcPr>
            <w:tcW w:type="dxa" w:w="63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没有命中任何已启用风险因素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9360" w:type="dxa"/>
            <w:shd w:fill="F2F4F7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配置建议：</w:t>
            </w:r>
            <w:r>
              <w:rPr>
                <w:rFonts w:ascii="Heiti SC" w:hAnsi="Heiti SC" w:eastAsia="Heiti SC"/>
                <w:b w:val="0"/>
                <w:sz w:val="21"/>
              </w:rPr>
              <w:t>风险等级是因素的业务分级，不是多个因素的加总分数。每个主体类型需完整配置六个风险因素；开启的因素必须选择有效等级。</w:t>
            </w:r>
          </w:p>
        </w:tc>
      </w:tr>
    </w:tbl>
    <w:p>
      <w:pPr>
        <w:spacing w:after="20"/>
      </w:pPr>
    </w:p>
    <w:p>
      <w:pPr>
        <w:keepNext/>
        <w:spacing w:before="240" w:after="120"/>
      </w:pPr>
      <w:r>
        <w:rPr>
          <w:rFonts w:ascii="Heiti SC" w:hAnsi="Heiti SC" w:eastAsia="Heiti SC"/>
          <w:b/>
          <w:color w:val="2E74B5"/>
          <w:sz w:val="26"/>
        </w:rPr>
        <w:t>2.2 配置风控密钥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进入“风控密钥”，点击“新增 Key”，填写名称、天眼查 Key 和每日配额限制，保存。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需要更换凭证时点击“编辑”；需要临时停用时点击“停用”，恢复后点击“启用”。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列表会显示 Key 的掩码、当日状态、配额使用量和最近失败原因。配额用尽或 Key 失败时，请及时更换或补充可用 Key。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9360" w:type="dxa"/>
            <w:shd w:fill="FDECEC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color w:val="9B1C1C"/>
                <w:sz w:val="21"/>
              </w:rPr>
              <w:t>安全提示：</w:t>
            </w:r>
            <w:r>
              <w:rPr>
                <w:rFonts w:ascii="Heiti SC" w:hAnsi="Heiti SC" w:eastAsia="Heiti SC"/>
                <w:b w:val="0"/>
                <w:sz w:val="21"/>
              </w:rPr>
              <w:t>系统仅展示掩码 Key。请不要在群聊、截图或普通文档中明文传播天眼查 Key。</w:t>
            </w:r>
          </w:p>
        </w:tc>
      </w:tr>
    </w:tbl>
    <w:p>
      <w:pPr>
        <w:spacing w:after="20"/>
      </w:pPr>
    </w:p>
    <w:p>
      <w:pPr>
        <w:keepNext/>
        <w:spacing w:before="240" w:after="120"/>
      </w:pPr>
      <w:r>
        <w:rPr>
          <w:rFonts w:ascii="Heiti SC" w:hAnsi="Heiti SC" w:eastAsia="Heiti SC"/>
          <w:b/>
          <w:color w:val="2E74B5"/>
          <w:sz w:val="26"/>
        </w:rPr>
        <w:t>2.3 配置企业微信群机器人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在企业微信群中添加群机器人并复制 Webhook 地址。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进入“群机器人”，开启机器人，粘贴 Webhook，并选择需要提醒的风险等级（默认建议选择严重风险、高风险）。点击“保存配置”。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点击“发送测试消息”验证机器人可用。测试成功后，采集批次完成且存在所选等级风险企业时，系统会自动发送汇总通知。</w:t>
      </w:r>
    </w:p>
    <w:p>
      <w:pPr>
        <w:spacing w:before="0" w:after="120" w:line="283" w:lineRule="auto"/>
      </w:pPr>
      <w:r>
        <w:rPr>
          <w:rFonts w:ascii="Heiti SC" w:hAnsi="Heiti SC" w:eastAsia="Heiti SC"/>
          <w:b w:val="0"/>
          <w:sz w:val="21"/>
        </w:rPr>
        <w:t>通知内容包括：批次号、风险企业总数、各等级数量、销售经理分布。发送失败可在机器人日志中查看。</w:t>
      </w:r>
    </w:p>
    <w:p>
      <w:pPr>
        <w:keepNext/>
        <w:spacing w:before="240" w:after="120"/>
      </w:pPr>
      <w:r>
        <w:rPr>
          <w:rFonts w:ascii="Heiti SC" w:hAnsi="Heiti SC" w:eastAsia="Heiti SC"/>
          <w:b/>
          <w:color w:val="2E74B5"/>
          <w:sz w:val="26"/>
        </w:rPr>
        <w:t>2.4 管理系统账号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进入“系统账号”，点击“新增账号”，填写登录账号、姓名、手机号、角色和初始密码（不填写时默认为 123456）。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账号需要停用时点击“停用”；人员变更时编辑姓名、手机号或角色；忘记密码时点击“重置密码”，系统重置为 123456。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新建或重置密码后，建议立即通知使用人登录并修改密码。</w:t>
      </w:r>
    </w:p>
    <w:p>
      <w:pPr>
        <w:keepNext/>
        <w:spacing w:before="240" w:after="120"/>
      </w:pPr>
      <w:r>
        <w:rPr>
          <w:rFonts w:ascii="Heiti SC" w:hAnsi="Heiti SC" w:eastAsia="Heiti SC"/>
          <w:b/>
          <w:color w:val="2E74B5"/>
          <w:sz w:val="26"/>
        </w:rPr>
        <w:t>2.5 管理角色与权限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进入“角色管理”，可新增角色或编辑已有角色，配置菜单权限和操作权限。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涉及企业新增、导入、编辑、删除、采集的权限为“维护/采集企业”；风险等级、密钥、机器人、账号、角色分别有独立管理权限。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停用角色前，先将该角色下的账号转移到其他角色；仍绑定账号时系统不允许停用。</w:t>
      </w:r>
    </w:p>
    <w:p>
      <w:pPr>
        <w:keepNext/>
        <w:spacing w:before="320" w:after="160"/>
      </w:pPr>
      <w:r>
        <w:rPr>
          <w:rFonts w:ascii="Heiti SC" w:hAnsi="Heiti SC" w:eastAsia="Heiti SC"/>
          <w:b/>
          <w:color w:val="2E74B5"/>
          <w:sz w:val="32"/>
        </w:rPr>
        <w:t>三、销售经理操作手册</w:t>
      </w:r>
    </w:p>
    <w:p>
      <w:pPr>
        <w:keepNext/>
        <w:spacing w:before="240" w:after="120"/>
      </w:pPr>
      <w:r>
        <w:rPr>
          <w:rFonts w:ascii="Heiti SC" w:hAnsi="Heiti SC" w:eastAsia="Heiti SC"/>
          <w:b/>
          <w:color w:val="2E74B5"/>
          <w:sz w:val="26"/>
        </w:rPr>
        <w:t>3.1 新增企业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进入“企业风控”，点击“新增企业”。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填写企业名称、18 位统一社会信用代码、销售经理、主体类型，并选择是否开启监测。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点击“保存”。开启监测后，企业可参加批量采集，也可使用单企业“采集”按钮立即采集。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9360" w:type="dxa"/>
            <w:shd w:fill="FFF6E5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color w:val="7A5A00"/>
                <w:sz w:val="21"/>
              </w:rPr>
              <w:t>录入前检查：</w:t>
            </w:r>
            <w:r>
              <w:rPr>
                <w:rFonts w:ascii="Heiti SC" w:hAnsi="Heiti SC" w:eastAsia="Heiti SC"/>
                <w:b w:val="0"/>
                <w:sz w:val="21"/>
              </w:rPr>
              <w:t>统一社会信用代码必须为 18 位，并建议从营业执照或权威来源复制粘贴后再核对企业名称。</w:t>
            </w:r>
          </w:p>
        </w:tc>
      </w:tr>
    </w:tbl>
    <w:p>
      <w:pPr>
        <w:spacing w:after="20"/>
      </w:pPr>
    </w:p>
    <w:p>
      <w:pPr>
        <w:keepNext/>
        <w:spacing w:before="240" w:after="120"/>
      </w:pPr>
      <w:r>
        <w:rPr>
          <w:rFonts w:ascii="Heiti SC" w:hAnsi="Heiti SC" w:eastAsia="Heiti SC"/>
          <w:b/>
          <w:color w:val="2E74B5"/>
          <w:sz w:val="26"/>
        </w:rPr>
        <w:t>3.2 新增时遇到重复信用代码，怎么处理？</w:t>
      </w:r>
    </w:p>
    <w:p>
      <w:pPr>
        <w:spacing w:before="0" w:after="120" w:line="283" w:lineRule="auto"/>
      </w:pPr>
      <w:r>
        <w:rPr>
          <w:rFonts w:ascii="Heiti SC" w:hAnsi="Heiti SC" w:eastAsia="Heiti SC"/>
          <w:b w:val="0"/>
          <w:sz w:val="21"/>
        </w:rPr>
        <w:t>系统以统一社会信用代码判定是否为同一企业，不以企业名称判定。处理方式如下：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500"/>
        <w:gridCol w:w="3400"/>
        <w:gridCol w:w="3460"/>
      </w:tblGrid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2500" w:type="dxa"/>
            <w:shd w:fill="E8EEF5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场景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3400" w:type="dxa"/>
            <w:shd w:fill="E8EEF5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系统处理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3460" w:type="dxa"/>
            <w:shd w:fill="E8EEF5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业务人员操作</w:t>
            </w:r>
          </w:p>
        </w:tc>
      </w:tr>
      <w:tr>
        <w:tc>
          <w:tcPr>
            <w:tcW w:type="dxa" w:w="25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代码已存在且原记录正常</w:t>
            </w:r>
          </w:p>
        </w:tc>
        <w:tc>
          <w:tcPr>
            <w:tcW w:type="dxa" w:w="34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不会新建第二条记录；系统更新原记录的企业名称、销售经理等信息</w:t>
            </w:r>
          </w:p>
        </w:tc>
        <w:tc>
          <w:tcPr>
            <w:tcW w:type="dxa" w:w="34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确认企业确实为同一主体后，继续保存即可；如不是同一主体，请回到源数据核对信用代码</w:t>
            </w:r>
          </w:p>
        </w:tc>
      </w:tr>
      <w:tr>
        <w:tc>
          <w:tcPr>
            <w:tcW w:type="dxa" w:w="25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代码对应历史已删除记录</w:t>
            </w:r>
          </w:p>
        </w:tc>
        <w:tc>
          <w:tcPr>
            <w:tcW w:type="dxa" w:w="34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弹出“启用历史企业”确认框</w:t>
            </w:r>
          </w:p>
        </w:tc>
        <w:tc>
          <w:tcPr>
            <w:tcW w:type="dxa" w:w="34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确认是同一企业且需要恢复时，点击“确认启用”；不应恢复时点击“取消”并核对代码</w:t>
            </w:r>
          </w:p>
        </w:tc>
      </w:tr>
      <w:tr>
        <w:tc>
          <w:tcPr>
            <w:tcW w:type="dxa" w:w="25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代码格式错误</w:t>
            </w:r>
          </w:p>
        </w:tc>
        <w:tc>
          <w:tcPr>
            <w:tcW w:type="dxa" w:w="34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提示“统一社会信用代码必须为18位”</w:t>
            </w:r>
          </w:p>
        </w:tc>
        <w:tc>
          <w:tcPr>
            <w:tcW w:type="dxa" w:w="34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修正为完整 18 位代码后重新提交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9360" w:type="dxa"/>
            <w:shd w:fill="FDECEC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color w:val="9B1C1C"/>
                <w:sz w:val="21"/>
              </w:rPr>
              <w:t>最重要：</w:t>
            </w:r>
            <w:r>
              <w:rPr>
                <w:rFonts w:ascii="Heiti SC" w:hAnsi="Heiti SC" w:eastAsia="Heiti SC"/>
                <w:b w:val="0"/>
                <w:sz w:val="21"/>
              </w:rPr>
              <w:t>不要为了绕过重复提示而修改或虚构统一社会信用代码。一个信用代码只对应一条有效企业记录。</w:t>
            </w:r>
          </w:p>
        </w:tc>
      </w:tr>
    </w:tbl>
    <w:p>
      <w:pPr>
        <w:spacing w:after="20"/>
      </w:pPr>
    </w:p>
    <w:p>
      <w:pPr>
        <w:keepNext/>
        <w:spacing w:before="240" w:after="120"/>
      </w:pPr>
      <w:r>
        <w:rPr>
          <w:rFonts w:ascii="Heiti SC" w:hAnsi="Heiti SC" w:eastAsia="Heiti SC"/>
          <w:b/>
          <w:color w:val="2E74B5"/>
          <w:sz w:val="26"/>
        </w:rPr>
        <w:t>3.3 批量导入企业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在“企业风控”点击“批量导入”，先下载 Excel 模板。模板列必须保持为：企业名称、统一社会信用代码、销售经理、主体类型。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逐行填写数据：企业名称不能为空；统一社会信用代码必须为 18 位；销售经理不能为空；主体类型可填 ENTERPRISE、GOVERNMENT、OTHER，留空默认为企业客户。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上传 .xlsx 文件，等待系统返回成功数、失败数和错误行号。导入失败的行不会影响其他有效行。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文件内重复信用代码会被标记为失败（提示“文件内统一社会信用代码重复”）。请删除重复行，只保留一行后重新导入。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若导入结果提示存在历史已删企业，系统会显示待启用数量：确认恢复时点击“确认启用”；否则点击“取消”并修正文件。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9360" w:type="dxa"/>
            <w:shd w:fill="F2F4F7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导入检查清单：</w:t>
            </w:r>
            <w:r>
              <w:rPr>
                <w:rFonts w:ascii="Heiti SC" w:hAnsi="Heiti SC" w:eastAsia="Heiti SC"/>
                <w:b w:val="0"/>
                <w:sz w:val="21"/>
              </w:rPr>
              <w:t>上传前先去重信用代码；确保无空行中的半截数据；主体类型使用模板值；保留系统返回的失败行提示，修正后只重传失败数据。</w:t>
            </w:r>
          </w:p>
        </w:tc>
      </w:tr>
    </w:tbl>
    <w:p>
      <w:pPr>
        <w:spacing w:after="20"/>
      </w:pPr>
    </w:p>
    <w:p>
      <w:pPr>
        <w:keepNext/>
        <w:spacing w:before="240" w:after="120"/>
      </w:pPr>
      <w:r>
        <w:rPr>
          <w:rFonts w:ascii="Heiti SC" w:hAnsi="Heiti SC" w:eastAsia="Heiti SC"/>
          <w:b/>
          <w:color w:val="2E74B5"/>
          <w:sz w:val="26"/>
        </w:rPr>
        <w:t>3.4 单企业采集与定时批量采集</w:t>
      </w:r>
    </w:p>
    <w:p>
      <w:pPr>
        <w:keepNext/>
        <w:spacing w:before="180" w:after="80"/>
      </w:pPr>
      <w:r>
        <w:rPr>
          <w:rFonts w:ascii="Heiti SC" w:hAnsi="Heiti SC" w:eastAsia="Heiti SC"/>
          <w:b/>
          <w:color w:val="1F4D78"/>
          <w:sz w:val="23"/>
        </w:rPr>
        <w:t>单企业采集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确认企业“监测”开关为开启状态，点击列表中的“采集”。监测未开启时，采集按钮不可用。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采集完成后查看“风险等级”和“采集状态”；点击“详情”查看企业基本信息、采集结果和风险因素命中证据。</w:t>
      </w:r>
    </w:p>
    <w:p>
      <w:pPr>
        <w:keepNext/>
        <w:spacing w:before="180" w:after="80"/>
      </w:pPr>
      <w:r>
        <w:rPr>
          <w:rFonts w:ascii="Heiti SC" w:hAnsi="Heiti SC" w:eastAsia="Heiti SC"/>
          <w:b/>
          <w:color w:val="1F4D78"/>
          <w:sz w:val="23"/>
        </w:rPr>
        <w:t>立即批量采集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点击“批量采集”→“立即批量采集”，先查看系统给出的采集范围和符合条件企业数。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立即批量采集范围：已开启监测，且从未成功采集，或距离上次成功采集已超过 7 天的企业。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点击“执行”后生成批次号（格式示例：ER202608280002）。已有进行中的采集批次时，不能重复执行。</w:t>
      </w:r>
    </w:p>
    <w:p>
      <w:pPr>
        <w:keepNext/>
        <w:spacing w:before="180" w:after="80"/>
      </w:pPr>
      <w:r>
        <w:rPr>
          <w:rFonts w:ascii="Heiti SC" w:hAnsi="Heiti SC" w:eastAsia="Heiti SC"/>
          <w:b/>
          <w:color w:val="1F4D78"/>
          <w:sz w:val="23"/>
        </w:rPr>
        <w:t>自动化采集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在“批量采集”→“自动化采集”中开启规则，选择每日或每周、执行时间；每周还需选择星期几。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自动化采集每次覆盖全部已开启监测企业。建议安排在业务低峰期，并提前确认风控密钥配额充足。</w:t>
      </w:r>
    </w:p>
    <w:p>
      <w:pPr>
        <w:keepNext/>
        <w:spacing w:before="240" w:after="120"/>
      </w:pPr>
      <w:r>
        <w:rPr>
          <w:rFonts w:ascii="Heiti SC" w:hAnsi="Heiti SC" w:eastAsia="Heiti SC"/>
          <w:b/>
          <w:color w:val="2E74B5"/>
          <w:sz w:val="26"/>
        </w:rPr>
        <w:t>3.5 接收和查看风险通知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企业微信群机器人配置完成后，批量采集结束且出现所选风险等级企业时，系统会向指定群发送汇总消息。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收到通知后，可根据批次号回到企业风控列表筛选“采集批次号”，再按风险等级查看企业。</w:t>
      </w:r>
    </w:p>
    <w:p>
      <w:pPr>
        <w:pStyle w:val="ListNumber"/>
        <w:spacing w:after="80" w:line="276" w:lineRule="auto"/>
        <w:ind w:left="432" w:hanging="288"/>
      </w:pPr>
      <w:r>
        <w:rPr>
          <w:rFonts w:ascii="Heiti SC" w:hAnsi="Heiti SC" w:eastAsia="Heiti SC"/>
          <w:b w:val="0"/>
          <w:sz w:val="21"/>
        </w:rPr>
        <w:t>打开企业“详情”，查看具体命中的风险因素、命中条数、采集状态和采集时间；对高风险及严重风险企业按公司内部流程跟进。</w:t>
      </w:r>
    </w:p>
    <w:p>
      <w:pPr>
        <w:keepNext/>
        <w:spacing w:before="320" w:after="160"/>
      </w:pPr>
      <w:r>
        <w:rPr>
          <w:rFonts w:ascii="Heiti SC" w:hAnsi="Heiti SC" w:eastAsia="Heiti SC"/>
          <w:b/>
          <w:color w:val="2E74B5"/>
          <w:sz w:val="32"/>
        </w:rPr>
        <w:t>四、常见提示与处理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200"/>
        <w:gridCol w:w="6160"/>
      </w:tblGrid>
      <w:tr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3200" w:type="dxa"/>
            <w:shd w:fill="E8EEF5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系统提示/现象</w:t>
            </w:r>
          </w:p>
        </w:tc>
        <w:tc>
          <w:tcPr>
            <w:tcW w:type="dxa" w:w="6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6160" w:type="dxa"/>
            <w:shd w:fill="E8EEF5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处理建议</w:t>
            </w:r>
          </w:p>
        </w:tc>
      </w:tr>
      <w:tr>
        <w:tc>
          <w:tcPr>
            <w:tcW w:type="dxa" w:w="32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当前已有进行中采集批次</w:t>
            </w:r>
          </w:p>
        </w:tc>
        <w:tc>
          <w:tcPr>
            <w:tcW w:type="dxa" w:w="61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等待当前批次完成后再执行；不要重复点击“执行”</w:t>
            </w:r>
          </w:p>
        </w:tc>
      </w:tr>
      <w:tr>
        <w:tc>
          <w:tcPr>
            <w:tcW w:type="dxa" w:w="32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采集失败/部分成功</w:t>
            </w:r>
          </w:p>
        </w:tc>
        <w:tc>
          <w:tcPr>
            <w:tcW w:type="dxa" w:w="61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查看采集状态和失败原因；检查 Key 是否停用、配额是否用尽，必要时更换 Key 后重新采集</w:t>
            </w:r>
          </w:p>
        </w:tc>
      </w:tr>
      <w:tr>
        <w:tc>
          <w:tcPr>
            <w:tcW w:type="dxa" w:w="32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企业微信群未收到通知</w:t>
            </w:r>
          </w:p>
        </w:tc>
        <w:tc>
          <w:tcPr>
            <w:tcW w:type="dxa" w:w="61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检查机器人是否启用、Webhook 是否正确、提醒等级是否包含该企业等级，并查看机器人日志</w:t>
            </w:r>
          </w:p>
        </w:tc>
      </w:tr>
      <w:tr>
        <w:tc>
          <w:tcPr>
            <w:tcW w:type="dxa" w:w="32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导入部分失败</w:t>
            </w:r>
          </w:p>
        </w:tc>
        <w:tc>
          <w:tcPr>
            <w:tcW w:type="dxa" w:w="61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按返回的行号和原因修正后重新导入失败行；重点检查重复信用代码、18 位长度和销售经理必填</w:t>
            </w:r>
          </w:p>
        </w:tc>
      </w:tr>
      <w:tr>
        <w:tc>
          <w:tcPr>
            <w:tcW w:type="dxa" w:w="32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企业已删除但需要恢复</w:t>
            </w:r>
          </w:p>
        </w:tc>
        <w:tc>
          <w:tcPr>
            <w:tcW w:type="dxa" w:w="61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重新新增或导入相同信用代码，按提示确认“启用历史企业”</w:t>
            </w:r>
          </w:p>
        </w:tc>
      </w:tr>
    </w:tbl>
    <w:p>
      <w:pPr>
        <w:spacing w:after="20"/>
      </w:pPr>
    </w:p>
    <w:p>
      <w:pPr>
        <w:keepNext/>
        <w:spacing w:before="320" w:after="160"/>
      </w:pPr>
      <w:r>
        <w:rPr>
          <w:rFonts w:ascii="Heiti SC" w:hAnsi="Heiti SC" w:eastAsia="Heiti SC"/>
          <w:b/>
          <w:color w:val="2E74B5"/>
          <w:sz w:val="32"/>
        </w:rPr>
        <w:t>五、风险等级速查卡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500"/>
        <w:gridCol w:w="7860"/>
      </w:tblGrid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1500" w:type="dxa"/>
            <w:shd w:fill="E8EEF5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判断顺序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7860" w:type="dxa"/>
            <w:shd w:fill="E8EEF5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规则</w:t>
            </w:r>
          </w:p>
        </w:tc>
      </w:tr>
      <w:tr>
        <w:tc>
          <w:tcPr>
            <w:tcW w:type="dxa" w:w="15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1</w:t>
            </w:r>
          </w:p>
        </w:tc>
        <w:tc>
          <w:tcPr>
            <w:tcW w:type="dxa" w:w="78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只看本次采集成功的风险因素；采集失败或不可用的因素不作为命中依据</w:t>
            </w:r>
          </w:p>
        </w:tc>
      </w:tr>
      <w:tr>
        <w:tc>
          <w:tcPr>
            <w:tcW w:type="dxa" w:w="15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2</w:t>
            </w:r>
          </w:p>
        </w:tc>
        <w:tc>
          <w:tcPr>
            <w:tcW w:type="dxa" w:w="78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仅统计已启用因素；停用因素即使命中也不触发风险提示</w:t>
            </w:r>
          </w:p>
        </w:tc>
      </w:tr>
      <w:tr>
        <w:tc>
          <w:tcPr>
            <w:tcW w:type="dxa" w:w="15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3</w:t>
            </w:r>
          </w:p>
        </w:tc>
        <w:tc>
          <w:tcPr>
            <w:tcW w:type="dxa" w:w="78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命中因素中取最高等级：严重 &gt; 高 &gt; 中 &gt; 低</w:t>
            </w:r>
          </w:p>
        </w:tc>
      </w:tr>
      <w:tr>
        <w:tc>
          <w:tcPr>
            <w:tcW w:type="dxa" w:w="15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4</w:t>
            </w:r>
          </w:p>
        </w:tc>
        <w:tc>
          <w:tcPr>
            <w:tcW w:type="dxa" w:w="78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同一等级命中多个因素，显示“等级*n”</w:t>
            </w:r>
          </w:p>
        </w:tc>
      </w:tr>
      <w:tr>
        <w:tc>
          <w:tcPr>
            <w:tcW w:type="dxa" w:w="1500"/>
          </w:tcPr>
          <w:p>
            <w:r>
              <w:rPr>
                <w:rFonts w:ascii="Heiti SC" w:hAnsi="Heiti SC" w:eastAsia="Heiti SC"/>
                <w:b w:val="0"/>
                <w:sz w:val="21"/>
              </w:rPr>
              <w:t>5</w:t>
            </w:r>
          </w:p>
        </w:tc>
        <w:tc>
          <w:tcPr>
            <w:tcW w:type="dxa" w:w="7860"/>
          </w:tcPr>
          <w:p>
            <w:r>
              <w:rPr>
                <w:rFonts w:ascii="Heiti SC" w:hAnsi="Heiti SC" w:eastAsia="Heiti SC"/>
                <w:b w:val="0"/>
                <w:sz w:val="21"/>
              </w:rPr>
              <w:t>没有命中任何已启用因素，显示“无风险”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W w:w="9360" w:type="dxa"/>
            <w:shd w:fill="EAF2F8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示例：</w:t>
            </w:r>
            <w:r>
              <w:rPr>
                <w:rFonts w:ascii="Heiti SC" w:hAnsi="Heiti SC" w:eastAsia="Heiti SC"/>
                <w:b w:val="0"/>
                <w:sz w:val="21"/>
              </w:rPr>
              <w:t>若企业命中“司法风险（高）”和“限制消费令（中）”，最终显示“高风险”；若同时命中两个高风险因素，则显示“高风险*2”。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777777"/>
        <w:sz w:val="17"/>
      </w:rPr>
      <w:t>内部使用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777777"/>
        <w:sz w:val="17"/>
      </w:rPr>
      <w:t>企业风控系统 · 业务操作手册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