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系统架构与数据库设计 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技术方案设计阶段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运行平台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10/11 x64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一、总体架构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渲染进程（React）                 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解题页 / 动画页 / 设置页 / 导出菜单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└───────────────┬─────────────────────────────┘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              │ HTTP（127.0.0.1，随机端口）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┌───────────────▼─────────────────────────────┐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主进程（Electron）                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本机服务 · 规则工作区 · 账本(SQLite) · 导出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编排器：八阶段链路 · 事件流(SSE)  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└───────┬───────────────────────┬─────────────┘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      │           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┌───────▼────────┐   ┌──────────▼────────────┐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模型网关        │   │ 校验与执行            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│ 流式/重试/脱敏  │   │ 九项判据 + Worker 沙箱 │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└────────────────┘   └───────────────────────┘</w:t>
      </w:r>
    </w:p>
    <w:p>
      <w:r>
        <w:rPr>
          <w:rFonts w:ascii="Times New Roman" w:hAnsi="Times New Roman" w:eastAsia="宋体"/>
          <w:b/>
          <w:sz w:val="21"/>
        </w:rPr>
        <w:t>四个关键设计决定：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本机 HTTP 服务而不是 file://</w:t>
      </w:r>
      <w:r>
        <w:rPr>
          <w:rFonts w:ascii="Times New Roman" w:hAnsi="Times New Roman" w:eastAsia="宋体"/>
          <w:b w:val="0"/>
          <w:sz w:val="21"/>
        </w:rPr>
        <w:t>：页面与主进程用 HTTP 通信，</w:t>
      </w:r>
      <w:r>
        <w:rPr>
          <w:rFonts w:ascii="Courier New" w:hAnsi="Courier New" w:eastAsia="宋体"/>
          <w:b w:val="0"/>
          <w:sz w:val="21"/>
        </w:rPr>
        <w:t>/api/*</w:t>
      </w:r>
      <w:r>
        <w:rPr>
          <w:rFonts w:ascii="Times New Roman" w:hAnsi="Times New Roman" w:eastAsia="宋体"/>
          <w:b w:val="0"/>
          <w:sz w:val="21"/>
        </w:rPr>
        <w:t xml:space="preserve"> 才能工作；端口用 0 由系统分配，不写死；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进程内隔离</w:t>
      </w:r>
      <w:r>
        <w:rPr>
          <w:rFonts w:ascii="Times New Roman" w:hAnsi="Times New Roman" w:eastAsia="宋体"/>
          <w:b w:val="0"/>
          <w:sz w:val="21"/>
        </w:rPr>
        <w:t>：模型产出的代码在 Worker 沙箱中试运行，超时、内存、死循环都被拦住，不污染主进程；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配置快照</w:t>
      </w:r>
      <w:r>
        <w:rPr>
          <w:rFonts w:ascii="Times New Roman" w:hAnsi="Times New Roman" w:eastAsia="宋体"/>
          <w:b w:val="0"/>
          <w:sz w:val="21"/>
        </w:rPr>
        <w:t>：每道题开始运行时冻结一份配置与规则快照，运行中改配置不影响本次；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数据全本地</w:t>
      </w:r>
      <w:r>
        <w:rPr>
          <w:rFonts w:ascii="Times New Roman" w:hAnsi="Times New Roman" w:eastAsia="宋体"/>
          <w:b w:val="0"/>
          <w:sz w:val="21"/>
        </w:rPr>
        <w:t>：题目、密钥、历史、导出物都在本机目录，只有模型调用出网。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二、生成链路（编排器）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执行方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read_problem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题面转写、元件/场景判定、几何转写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solve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解题过程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breakdown ∥ analysis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模型（并行）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步骤文本 ∥ 运动方程表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scene_code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逐帧绘制函数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dry_run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判据结果 + 试运行帧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repair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只重画画面 / 重算物理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couple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 → 时间区间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并行点：第 3 步的两支互不依赖，同时发起；任一支失败不影响另一支的结果保留。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三、关键模块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职责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编排器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串阶段、发事件、控制修复轮次与上限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模型网关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流式解析、错误分类（鉴权/限流/超时/断流）、Key 与路径脱敏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清洗切分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把模型输出按标记切成 8 个槽位，保证行号可反查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物理分析生成器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把运动方程表编译为位移/速度/加速度代码（模型不参与计算）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判据引擎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九项静态与数值判据（C1–C9）+ 一项物理包络扩展（C10）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沙箱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Worker 中执行，限制时间、内存、逃逸调用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修复分类器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按失败检查号判定“画图错”还是“物理错”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单文件网页（内联运行时与公式）、GIF 编码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账本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SQLite 记录运行指标与审计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观测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运行记录、失败复现包、开源日志（全脱敏）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四、数据存储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4.1 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目录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%APPDATA%\xiaofeiyu-physics-animation\data\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规则、密钥、账本、观测记录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…\data\ai-rules\knowledgecard\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用户知识卡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…\data\ai-rules\prompts\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用户覆盖的提示词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…\data\history.db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SQLite 账本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文档\小肥鱼物理解题动画\导出\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软件目录\</w:t>
            </w:r>
            <w:r>
              <w:rPr>
                <w:rFonts w:ascii="Courier New" w:hAnsi="Courier New" w:eastAsia="宋体"/>
                <w:b w:val="0"/>
                <w:sz w:val="19"/>
              </w:rPr>
              <w:t>开源日志\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每次运行的日志（脱敏）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4.2 数据库表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关键字段（概括）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runs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一次运行的汇总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 ID、版本、模型、判定、耗时、检查号分布、token 估算、时间戳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run_stages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逐阶段明细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 ID、阶段名、耗时、状态、错误类型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audit_log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审计留痕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类型（导出/配置变更/密钥变更）、摘要、时间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meta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结构与版本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结构版本号、维护时间</w:t>
            </w:r>
          </w:p>
        </w:tc>
      </w:tr>
    </w:tbl>
    <w:p>
      <w:r>
        <w:rPr>
          <w:rFonts w:ascii="Times New Roman" w:hAnsi="Times New Roman" w:eastAsia="宋体"/>
          <w:b/>
          <w:sz w:val="21"/>
        </w:rPr>
        <w:t>约束：</w:t>
      </w:r>
    </w:p>
    <w:p>
      <w:pPr>
        <w:pStyle w:val="ListBullet"/>
        <w:spacing w:after="40"/>
      </w:pPr>
      <w:r>
        <w:rPr>
          <w:rFonts w:ascii="Courier New" w:hAnsi="Courier New" w:eastAsia="宋体"/>
          <w:b w:val="0"/>
          <w:sz w:val="21"/>
        </w:rPr>
        <w:t>runs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urier New" w:hAnsi="Courier New" w:eastAsia="宋体"/>
          <w:b w:val="0"/>
          <w:sz w:val="21"/>
        </w:rPr>
        <w:t>run_stages</w:t>
      </w:r>
      <w:r>
        <w:rPr>
          <w:rFonts w:ascii="Times New Roman" w:hAnsi="Times New Roman" w:eastAsia="宋体"/>
          <w:b w:val="0"/>
          <w:sz w:val="21"/>
        </w:rPr>
        <w:t xml:space="preserve"> 为父子关系，删除运行记录时级联清理；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密钥不落库</w:t>
      </w:r>
      <w:r>
        <w:rPr>
          <w:rFonts w:ascii="Times New Roman" w:hAnsi="Times New Roman" w:eastAsia="宋体"/>
          <w:b w:val="0"/>
          <w:sz w:val="21"/>
        </w:rPr>
        <w:t>：写入前按已知 Key 值、</w:t>
      </w:r>
      <w:r>
        <w:rPr>
          <w:rFonts w:ascii="Courier New" w:hAnsi="Courier New" w:eastAsia="宋体"/>
          <w:b w:val="0"/>
          <w:sz w:val="21"/>
        </w:rPr>
        <w:t>Bearer</w:t>
      </w:r>
      <w:r>
        <w:rPr>
          <w:rFonts w:ascii="Times New Roman" w:hAnsi="Times New Roman" w:eastAsia="宋体"/>
          <w:b w:val="0"/>
          <w:sz w:val="21"/>
        </w:rPr>
        <w:t xml:space="preserve"> 形态、</w:t>
      </w:r>
      <w:r>
        <w:rPr>
          <w:rFonts w:ascii="Courier New" w:hAnsi="Courier New" w:eastAsia="宋体"/>
          <w:b w:val="0"/>
          <w:sz w:val="21"/>
        </w:rPr>
        <w:t>sk-</w:t>
      </w:r>
      <w:r>
        <w:rPr>
          <w:rFonts w:ascii="Times New Roman" w:hAnsi="Times New Roman" w:eastAsia="宋体"/>
          <w:b w:val="0"/>
          <w:sz w:val="21"/>
        </w:rPr>
        <w:t xml:space="preserve"> 形态三重脱敏；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同一运行 ID 重写为覆盖语义（先删后插），避免重复计数；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老库按字段改名迁移（历史字段）并在 </w:t>
      </w:r>
      <w:r>
        <w:rPr>
          <w:rFonts w:ascii="Courier New" w:hAnsi="Courier New" w:eastAsia="宋体"/>
          <w:b w:val="0"/>
          <w:sz w:val="21"/>
        </w:rPr>
        <w:t>meta</w:t>
      </w:r>
      <w:r>
        <w:rPr>
          <w:rFonts w:ascii="Times New Roman" w:hAnsi="Times New Roman" w:eastAsia="宋体"/>
          <w:b w:val="0"/>
          <w:sz w:val="21"/>
        </w:rPr>
        <w:t xml:space="preserve"> 中记录结构版本。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五、安全设计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措施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渲染进程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关闭 nodeIntegration、开启 contextIsolation、开启 sandbox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进程间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预加载只转发三个固定通道，不透传任意 channel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本机服务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只绑 127.0.0.1；写操作校验 Origin；导出落盘路径限定在导出目录内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模型产出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静态判据拦 </w:t>
            </w:r>
            <w:r>
              <w:rPr>
                <w:rFonts w:ascii="Courier New" w:hAnsi="Courier New" w:eastAsia="宋体"/>
                <w:b w:val="0"/>
                <w:sz w:val="19"/>
              </w:rPr>
              <w:t>require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urier New" w:hAnsi="Courier New" w:eastAsia="宋体"/>
                <w:b w:val="0"/>
                <w:sz w:val="19"/>
              </w:rPr>
              <w:t>eval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urier New" w:hAnsi="Courier New" w:eastAsia="宋体"/>
                <w:b w:val="0"/>
                <w:sz w:val="19"/>
              </w:rPr>
              <w:t>Function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/原型链逃逸；沙箱拦死循环与超内存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Key 单独存文件、不随配置导出；日志与账本全脱敏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外链交系统浏览器打开，页面禁止导航到非本机地址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六、性能设计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目标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手段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单题生成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≤3 分钟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并行两支、修复轮次上限、超时按“未收到新数据”计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界面响应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生成中不卡顿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全程事件流（SSE），前端增量渲染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≤5 秒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公式构建期预渲染，运行时内联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启动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≤5 秒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本地服务随机端口，先起服务再开窗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选型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理由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Electron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需要本机文件、SQLite、子进程能力，且要单 exe 分发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React + TypeScript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界面状态多（阶段、步骤、时间轴），类型约束降低改坏风险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better-sqlite3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同步 API、无需额外服务、单文件数据库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MathJax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公式质量与离线渲染能力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Worker 沙箱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模型代码必须在隔离环境试运行</w:t>
            </w:r>
          </w:p>
        </w:tc>
      </w:tr>
    </w:tbl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