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 of Microsoft</w:t>
      </w:r>
    </w:p>
    <w:p>
      <w:r>
        <w:t>This report summarizes the company performance in 2024.</w:t>
      </w:r>
    </w:p>
    <w:p>
      <w:r>
        <w:rPr>
          <w:b/>
        </w:rPr>
        <w:t>Key highlights:</w:t>
      </w:r>
    </w:p>
    <w:p>
      <w:pPr>
        <w:pStyle w:val="ListBullet"/>
      </w:pPr>
      <w:r>
        <w:t>Revenue increased by 15 percent this year.</w:t>
      </w:r>
    </w:p>
    <w:p>
      <w:pPr>
        <w:pStyle w:val="ListBullet"/>
      </w:pPr>
      <w:r>
        <w:t>New products were launched in New York and Beijing.</w:t>
      </w:r>
    </w:p>
    <w:p>
      <w:r>
        <w:t>Alice Johnson joined as the Chief Technology Officer.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Growth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22%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35%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