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Normal"/>
        <w:ind w:hanging="0"/>
        <w:rPr/>
      </w:pPr>
      <w:r>
        <w:rPr/>
      </w:r>
    </w:p>
    <w:p>
      <w:pPr>
        <w:pStyle w:val="Normal"/>
        <w:rPr/>
      </w:pPr>
      <w:r>
        <w:rPr/>
      </w:r>
    </w:p>
    <w:p>
      <w:pPr>
        <w:pStyle w:val="Normal"/>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4"/>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4"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5">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8">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宋体"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宋体"/>
          <w:b/>
          <w:bCs/>
        </w:rPr>
      </w:pPr>
      <w:r>
        <w:rPr>
          <w:rFonts w:eastAsia="宋体" w:hint="eastAsia"/>
          <w:b/>
          <w:bCs/>
        </w:rPr>
        <w:t>Graphical Abstract</w:t>
      </w:r>
    </w:p>
    <w:p>
      <w:pPr>
        <w:pStyle w:val="Normal"/>
        <w:spacing w:lineRule="auto" w:line="360" w:before="0" w:after="0"/>
        <w:ind w:hanging="0"/>
        <w:rPr>
          <w:rFonts w:eastAsia="宋体"/>
          <w:b/>
          <w:bCs/>
        </w:rPr>
      </w:pPr>
      <w:commentRangeStart w:id="0"/>
      <w:r>
        <w:rPr/>
        <w:drawing>
          <wp:inline distT="0" distB="0" distL="0" distR="0">
            <wp:extent cx="5943600" cy="66065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stretch>
                      <a:fillRect/>
                    </a:stretch>
                  </pic:blipFill>
                  <pic:spPr bwMode="auto">
                    <a:xfrm>
                      <a:off x="0" y="0"/>
                      <a:ext cx="5943600" cy="6606540"/>
                    </a:xfrm>
                    <a:prstGeom prst="rect">
                      <a:avLst/>
                    </a:prstGeom>
                    <a:noFill/>
                  </pic:spPr>
                </pic:pic>
              </a:graphicData>
            </a:graphic>
          </wp:inline>
        </w:drawing>
      </w:r>
      <w:commentRangeEnd w:id="0"/>
      <w:r>
        <w:commentReference w:id="0"/>
      </w:r>
      <w:r>
        <w:rPr/>
      </w:r>
    </w:p>
    <w:p>
      <w:pPr>
        <w:pStyle w:val="Normal"/>
        <w:spacing w:lineRule="auto" w:line="360" w:before="0" w:after="0"/>
        <w:ind w:hanging="0"/>
        <w:rPr>
          <w:rFonts w:eastAsia="宋体"/>
          <w:b/>
          <w:bCs/>
        </w:rPr>
      </w:pPr>
      <w:r>
        <w:rPr>
          <w:rFonts w:eastAsia="宋体"/>
          <w:b/>
          <w:bCs/>
        </w:rPr>
        <w:t>Highlights</w:t>
      </w:r>
    </w:p>
    <w:p>
      <w:pPr>
        <w:pStyle w:val="Normal"/>
        <w:numPr>
          <w:ilvl w:val="0"/>
          <w:numId w:val="5"/>
        </w:numPr>
        <w:spacing w:lineRule="auto" w:line="360" w:before="0" w:after="0"/>
        <w:rPr>
          <w:rFonts w:eastAsia="宋体"/>
        </w:rPr>
      </w:pPr>
      <w:r>
        <w:rPr>
          <w:rFonts w:eastAsia="宋体"/>
        </w:rPr>
        <w:t>Unified indel repertoire across 6,975 genomes with lossless mapping schemes</w:t>
      </w:r>
    </w:p>
    <w:p>
      <w:pPr>
        <w:pStyle w:val="Normal"/>
        <w:numPr>
          <w:ilvl w:val="0"/>
          <w:numId w:val="5"/>
        </w:numPr>
        <w:spacing w:lineRule="auto" w:line="360" w:before="0" w:after="0"/>
        <w:rPr>
          <w:rFonts w:eastAsia="宋体"/>
        </w:rPr>
      </w:pPr>
      <w:r>
        <w:rPr>
          <w:rFonts w:eastAsia="宋体"/>
        </w:rPr>
        <w:t>Discovery of 26 novel 89-type and 1</w:t>
      </w:r>
      <w:r>
        <w:rPr>
          <w:rFonts w:eastAsia="宋体" w:hint="eastAsia"/>
        </w:rPr>
        <w:t>1</w:t>
      </w:r>
      <w:r>
        <w:rPr>
          <w:rFonts w:eastAsia="宋体"/>
        </w:rPr>
        <w:t xml:space="preserve"> novel 83-type indel mutational signatures</w:t>
      </w:r>
    </w:p>
    <w:p>
      <w:pPr>
        <w:pStyle w:val="Normal"/>
        <w:numPr>
          <w:ilvl w:val="0"/>
          <w:numId w:val="5"/>
        </w:numPr>
        <w:spacing w:lineRule="auto" w:line="360" w:before="0" w:after="0"/>
        <w:rPr>
          <w:rFonts w:eastAsia="宋体"/>
        </w:rPr>
      </w:pPr>
      <w:r>
        <w:rPr>
          <w:rFonts w:eastAsia="宋体"/>
        </w:rPr>
        <w:t>Integrative topography across transcription, replication, and genic regions</w:t>
      </w:r>
    </w:p>
    <w:p>
      <w:pPr>
        <w:pStyle w:val="Normal"/>
        <w:numPr>
          <w:ilvl w:val="0"/>
          <w:numId w:val="5"/>
        </w:numPr>
        <w:spacing w:lineRule="auto" w:line="360" w:before="0" w:after="0"/>
        <w:rPr>
          <w:rFonts w:eastAsia="宋体"/>
        </w:rPr>
      </w:pPr>
      <w:r>
        <w:rPr>
          <w:rFonts w:eastAsia="宋体"/>
        </w:rPr>
        <w:t>Web portal and software for systematic indel browsing and VCF analysis</w:t>
      </w:r>
    </w:p>
    <w:p>
      <w:pPr>
        <w:pStyle w:val="Normal"/>
        <w:spacing w:lineRule="auto" w:line="360" w:before="0" w:after="0"/>
        <w:ind w:hanging="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fill="00FFFF" w:val="clear"/>
        </w:rPr>
        <w:t>(</w:t>
      </w:r>
      <w:r>
        <w:rPr>
          <w:rFonts w:eastAsia="宋体"/>
          <w:shd w:fill="00FFFF" w:val="clear"/>
        </w:rPr>
        <w:t>https://indelsigbrowser.shinyapps.io/main/</w:t>
      </w:r>
      <w:r>
        <w:rPr>
          <w:rFonts w:eastAsia="宋体"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宋体"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FFFF00" w:val="clear"/>
        </w:rPr>
        <w:t xml:space="preserve"> </w:t>
      </w:r>
      <w:r>
        <w:rPr>
          <w:rFonts w:eastAsia="宋体"/>
          <w:shd w:fill="00FFFF" w:val="clear"/>
        </w:rPr>
        <w:t>https://indelsigbrowser.shinyapps.io/main/</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w:t>
      </w:r>
      <w:r>
        <w:rPr>
          <w:rFonts w:eastAsia="宋体" w:hint="eastAsia"/>
        </w:rPr>
        <w:t xml:space="preserve"> 35 </w:t>
      </w:r>
      <w:r>
        <w:rPr/>
        <w:t>of the 44 signatures, we identified tumor spectra with &gt;</w:t>
      </w:r>
      <w:r>
        <w:rPr>
          <w:rFonts w:eastAsia="宋体" w:hint="eastAsia"/>
        </w:rPr>
        <w:t xml:space="preserve"> 0.95 </w:t>
      </w:r>
      <w:r>
        <w:rPr/>
        <w:t xml:space="preserve">cosine similarity, and 39 of the signatures had tumor spectra with &gt; 0.90 similarity (Table 1). Of the 44 signatures identified in the 89-type classification, similar signatures were previously described for 18 </w:t>
      </w:r>
      <w:bookmarkStart w:id="14" w:name="ZOTERO_BREF_0qMQgAENxeSA"/>
      <w:r>
        <w:rPr/>
        <w:t>(Koh et al. 2025)</w:t>
      </w:r>
      <w:bookmarkEnd w:id="14"/>
      <w:r>
        <w:rPr/>
        <w:t xml:space="preserve">.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宋体"/>
          <w:shd w:fill="00FFFF" w:val="clear"/>
        </w:rPr>
        <w:t>https://indelsigbrowser.shinyapps.io/main</w:t>
      </w:r>
      <w:r>
        <w:rPr>
          <w:shd w:fill="00FFFF" w:val="clear"/>
        </w:rPr>
        <w:t>.</w:t>
      </w:r>
    </w:p>
    <w:p>
      <w:pPr>
        <w:pStyle w:val="normalfirst"/>
        <w:ind w:firstLine="720"/>
        <w:rPr/>
      </w:pPr>
      <w:r>
        <w:rPr/>
        <w:t xml:space="preserve">&lt;INSERT MORE INFO ON ATTRIBUTION and MSI-non-MSI split and hypermutator-versus-non-hyper-mutator split&gt; In several cases, the 89 and 476 type systems were able to distinguish signatures that the 83-type system merged. This is clearest for deletions of single T bases from tracts of </w:t>
      </w:r>
      <w:r>
        <w:rPr>
          <w:rFonts w:eastAsia="Liberation Serif" w:cs="Liberation Serif" w:ascii="Liberation Serif" w:hAnsi="Liberation Serif"/>
        </w:rPr>
        <w:t>≥</w:t>
      </w:r>
      <w:r>
        <w:rPr/>
        <w:t xml:space="preserve"> 6 Ts, which in the older, 83 type classification, constitute a single class of &gt; 8.5 million deletions out of 9.5 million deletions of a single T and out of 18.4 million deletions in total. In COSMIC reference signature ID2 in the 83-type classification consists exclusively of this class of deletions. The new indel classifications divide ID2 into three signatures. Among these, InsDel2b is dominated by deletions of T from tracts of 5 to 7 Ts. InsDel2a and InsDel2c are dominated by deletions of </w:t>
      </w:r>
      <w:r>
        <w:rPr>
          <w:rFonts w:eastAsia="Liberation Serif" w:cs="Liberation Serif" w:ascii="Liberation Serif" w:hAnsi="Liberation Serif"/>
        </w:rPr>
        <w:t>≥ 8 Ts but are distinguished by InsDel2a’s preference of flanking A bases and InsDel1c’s preference for flanking C bases.</w:t>
      </w:r>
      <w:r>
        <w:rPr/>
        <w:t xml:space="preserve"> </w:t>
      </w:r>
      <w:r>
        <w:rPr>
          <w:color w:val="000000"/>
          <w:highlight w:val="yellow"/>
        </w:rPr>
        <w:t xml:space="preserve">Insdel2b and InsDel2c are strongly enriched among MSI-H tumors </w:t>
      </w:r>
      <w:r>
        <w:rPr>
          <w:color w:val="000000"/>
          <w:highlight w:val="yellow"/>
          <w:shd w:fill="00FFFF" w:val="clear"/>
        </w:rPr>
        <w:t>&lt;This is currently figure 5; move this text to the attribution section&gt;</w:t>
      </w:r>
    </w:p>
    <w:p>
      <w:pPr>
        <w:pStyle w:val="normalfirst"/>
        <w:ind w:firstLine="720"/>
        <w:rPr/>
      </w:pPr>
      <w:r>
        <w:rPr/>
        <w:t xml:space="preserve">Like deletions of single T bases from long poly-T tracts, insertions of single T bases into tracts of </w:t>
      </w:r>
      <w:r>
        <w:rPr>
          <w:rFonts w:eastAsia="Liberation Serif" w:cs="Liberation Serif" w:ascii="Liberation Serif" w:hAnsi="Liberation Serif"/>
        </w:rPr>
        <w:t>≥</w:t>
      </w:r>
      <w:r>
        <w:rPr/>
        <w:t xml:space="preserve"> 5 Ts also showed that the 89 and 476-type systems distinguish signatures that the 83-type classification does not. In the data we analyzed there were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Several tumors with high proportions of InsDel1b (&gt; 0.4) have mutation in the proofreading domain of polymerase epsilon </w:t>
      </w:r>
      <w:r>
        <w:rPr>
          <w:shd w:fill="00FFFF" w:val="clear"/>
        </w:rPr>
        <w:t>(Table S9)</w:t>
      </w:r>
      <w:r>
        <w:rPr/>
        <w:t>.</w:t>
      </w:r>
    </w:p>
    <w:p>
      <w:pPr>
        <w:pStyle w:val="normalfirst"/>
        <w:rPr/>
      </w:pPr>
      <w:r>
        <w:rPr>
          <w:rFonts w:eastAsia="宋体" w:hint="eastAsia"/>
          <w:b/>
          <w:bCs/>
          <w:i/>
          <w:iCs/>
        </w:rPr>
        <w:t>Two cases where the 89-type classification misses clear differences.</w:t>
      </w:r>
      <w:r>
        <w:rPr>
          <w:rFonts w:eastAsia="宋体" w:hint="eastAsia"/>
          <w:b/>
          <w:bCs/>
        </w:rPr>
        <w:t xml:space="preserve"> </w:t>
      </w:r>
      <w:r>
        <w:rPr>
          <w:rFonts w:eastAsia="宋体" w:hint="eastAsia"/>
        </w:rPr>
        <w:t xml:space="preserve">While the 89-type classification system on the whole better discriminates signau,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w:t>
      </w:r>
      <w:r>
        <w:rPr>
          <w:rFonts w:eastAsia="宋体" w:hint="eastAsia"/>
          <w:shd w:fill="00FFFF" w:val="clear"/>
        </w:rPr>
        <w:t xml:space="preserve"> Sup Figure S1A</w:t>
      </w:r>
      <w:r>
        <w:rPr>
          <w:shd w:fill="00FFFF" w:val="clear"/>
        </w:rPr>
        <w:t>)</w:t>
      </w:r>
      <w:r>
        <w:rPr/>
        <w:t>.</w:t>
      </w:r>
      <w:r>
        <w:rPr>
          <w:rFonts w:eastAsia="宋体"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宋体" w:hint="eastAsia"/>
        </w:rPr>
        <w:t>ACCG) and insertion of a one T next to an isolated T (e.g. GTG</w:t>
      </w:r>
      <w:r>
        <w:rPr>
          <w:rFonts w:cs="DejaVu Sans" w:hint="eastAsia" w:ascii="DejaVu Sans" w:hAnsi="DejaVu Sans"/>
        </w:rPr>
        <w:t>→</w:t>
      </w:r>
      <w:r>
        <w:rPr>
          <w:rFonts w:eastAsia="宋体" w:hint="eastAsia"/>
        </w:rPr>
        <w:t>GTTG). InsDel16 has insertion of one C between non-Cs (e.g. AT</w:t>
      </w:r>
      <w:r>
        <w:rPr>
          <w:rFonts w:cs="DejaVu Sans" w:hint="eastAsia" w:ascii="DejaVu Sans" w:hAnsi="DejaVu Sans"/>
        </w:rPr>
        <w:t>→</w:t>
      </w:r>
      <w:r>
        <w:rPr>
          <w:rFonts w:eastAsia="宋体" w:hint="eastAsia"/>
        </w:rPr>
        <w:t>ACT), and insertion of one T between non-Ts (e.g. AG</w:t>
      </w:r>
      <w:r>
        <w:rPr>
          <w:rFonts w:cs="DejaVu Sans" w:hint="eastAsia" w:ascii="DejaVu Sans" w:hAnsi="DejaVu Sans"/>
        </w:rPr>
        <w:t>→</w:t>
      </w:r>
      <w:r>
        <w:rPr>
          <w:rFonts w:eastAsia="宋体" w:hint="eastAsia"/>
        </w:rPr>
        <w:t xml:space="preserve">ATG, </w:t>
      </w:r>
      <w:r>
        <w:rPr>
          <w:rFonts w:eastAsia="宋体" w:hint="eastAsia"/>
          <w:shd w:fill="00FFFF" w:val="clear"/>
        </w:rPr>
        <w:t>Sup Figure S1B</w:t>
      </w:r>
      <w:r>
        <w:rPr/>
        <w:t xml:space="preserve">). Again, </w:t>
      </w:r>
      <w:r>
        <w:rPr>
          <w:rFonts w:eastAsia="宋体"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first"/>
        <w:rPr>
          <w:rFonts w:eastAsia="宋体"/>
          <w:b/>
          <w:bCs/>
          <w:i/>
          <w:iCs/>
        </w:rPr>
      </w:pPr>
      <w:r>
        <w:rPr>
          <w:rFonts w:eastAsia="宋体"/>
          <w:b/>
          <w:bCs/>
          <w:i/>
          <w:iCs/>
        </w:rPr>
        <w:t>APOBEC3A activity and InsDel_Aβ</w:t>
      </w:r>
      <w:r>
        <w:rPr>
          <w:rFonts w:eastAsia="宋体" w:hint="eastAsia"/>
          <w:b/>
          <w:bCs/>
          <w:i/>
          <w:iCs/>
        </w:rPr>
        <w:t xml:space="preserve">. </w:t>
      </w:r>
      <w:r>
        <w:rPr>
          <w:rFonts w:eastAsia="宋体"/>
        </w:rPr>
        <w:t>We identified InsDel_Aβ,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(F</w:t>
      </w:r>
      <w:r>
        <w:rPr>
          <w:rFonts w:eastAsia="宋体"/>
        </w:rPr>
        <w:t>i</w:t>
      </w:r>
      <w:r>
        <w:rPr>
          <w:rFonts w:eastAsia="宋体" w:hint="eastAsia"/>
        </w:rPr>
        <w:t>gure S1C, right sub-panel</w:t>
      </w:r>
      <w:r>
        <w:rPr>
          <w:rFonts w:eastAsia="宋体"/>
        </w:rPr>
        <w:t xml:space="preserve">). Thus, InsDel_Aβ mutates the same sequences as SBS2 </w:t>
      </w:r>
      <w:r>
        <w:rPr>
          <w:rFonts w:eastAsia="宋体" w:hint="eastAsia"/>
        </w:rPr>
        <w:t>(TCA</w:t>
      </w:r>
      <w:r>
        <w:rPr>
          <w:rFonts w:hint="eastAsia"/>
        </w:rPr>
        <w:t>→</w:t>
      </w:r>
      <w:r>
        <w:rPr>
          <w:rFonts w:eastAsia="宋体" w:hint="eastAsia"/>
        </w:rPr>
        <w:t>TTA and TCT</w:t>
      </w:r>
      <w:r>
        <w:rPr>
          <w:rFonts w:cs="DejaVu Sans" w:hint="eastAsia" w:ascii="DejaVu Sans" w:hAnsi="DejaVu Sans"/>
        </w:rPr>
        <w:t>→</w:t>
      </w:r>
      <w:r>
        <w:rPr>
          <w:rFonts w:eastAsia="宋体" w:hint="eastAsia"/>
        </w:rPr>
        <w:t>TTT)</w:t>
      </w:r>
      <w:r>
        <w:rPr>
          <w:rFonts w:eastAsia="宋体"/>
        </w:rPr>
        <w:t xml:space="preserve"> and SBS13 </w:t>
      </w:r>
      <w:r>
        <w:rPr>
          <w:rFonts w:eastAsia="宋体" w:hint="eastAsia"/>
        </w:rPr>
        <w:t>(TCA</w:t>
      </w:r>
      <w:r>
        <w:rPr>
          <w:rFonts w:cs="DejaVu Sans" w:hint="eastAsia" w:ascii="DejaVu Sans" w:hAnsi="DejaVu Sans"/>
        </w:rPr>
        <w:t>→</w:t>
      </w:r>
      <w:r>
        <w:rPr>
          <w:rFonts w:eastAsia="宋体" w:hint="eastAsia"/>
        </w:rPr>
        <w:t>TGA and TCT</w:t>
      </w:r>
      <w:r>
        <w:rPr>
          <w:rFonts w:cs="DejaVu Sans" w:hint="eastAsia" w:ascii="DejaVu Sans" w:hAnsi="DejaVu Sans"/>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6" w:name="ZOTERO_BREF_CAdMe2IeGVl5"/>
      <w:r>
        <w:rPr>
          <w:rFonts w:eastAsia="宋体"/>
        </w:rPr>
        <w:t>(DeWeerd et al. 2022)</w:t>
      </w:r>
      <w:bookmarkEnd w:id="16"/>
      <w:r>
        <w:rPr>
          <w:rFonts w:eastAsia="宋体"/>
        </w:rPr>
        <w:t xml:space="preserve">. This signature was was also noted in </w:t>
      </w:r>
      <w:bookmarkStart w:id="17" w:name="ZOTERO_BREF_EcFI6Fskdsau"/>
      <w:r>
        <w:rPr>
          <w:rFonts w:eastAsia="宋体"/>
        </w:rPr>
        <w:t>(Koh et al. 2025)</w:t>
      </w:r>
      <w:bookmarkEnd w:id="17"/>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18" w:name="ZOTERO_BREF_PIzfJaCA5fo2"/>
      <w:r>
        <w:rPr>
          <w:rFonts w:eastAsia="宋体"/>
        </w:rPr>
        <w:t>(DeWeerd et al. 2022)</w:t>
      </w:r>
      <w:bookmarkEnd w:id="18"/>
      <w:r>
        <w:rPr/>
        <w:t>.</w:t>
      </w:r>
      <w:r>
        <w:rPr>
          <w:rFonts w:eastAsia="宋体" w:hint="eastAsia"/>
        </w:rPr>
        <w:t xml:space="preserve"> Notably compared to ID9, </w:t>
      </w:r>
      <w:r>
        <w:rPr>
          <w:rFonts w:eastAsia="宋体"/>
        </w:rPr>
        <w:t xml:space="preserve">ID_A lacks the prominent 1 bp T deletions present in C_ID9 </w:t>
      </w:r>
      <w:r>
        <w:rPr>
          <w:rFonts w:eastAsia="宋体" w:hint="eastAsia"/>
        </w:rPr>
        <w:t>(Figure S1C, left sub-panel)</w:t>
      </w:r>
      <w:r>
        <w:rPr>
          <w:rFonts w:eastAsia="宋体"/>
        </w:rPr>
        <w:t>. In addition, the corresponding InsDel9 476-type signature also many deletions of a single C following A or G, which are essentially absent in InsDel_Aβ.</w:t>
      </w:r>
    </w:p>
    <w:p>
      <w:pPr>
        <w:pStyle w:val="normalfirst"/>
        <w:rPr>
          <w:shd w:fill="FFFF00" w:val="clear"/>
        </w:rPr>
      </w:pPr>
      <w:r>
        <w:rPr>
          <w:b/>
          <w:bCs/>
          <w:i/>
          <w:iCs/>
          <w:shd w:fill="FFFF00" w:val="clear"/>
        </w:rPr>
        <w:t xml:space="preserve">STEVE DEFINITE NEED PARAGRAPH </w:t>
      </w:r>
      <w:r>
        <w:rPr>
          <w:i/>
          <w:iCs/>
          <w:shd w:fill="FFFF00" w:val="clear"/>
        </w:rPr>
        <w:t>N_beta is the new ID2</w:t>
      </w:r>
    </w:p>
    <w:p>
      <w:pPr>
        <w:pStyle w:val="Normal"/>
        <w:rPr>
          <w:shd w:fill="FFFF00" w:val="clear"/>
        </w:rPr>
      </w:pPr>
      <w:r>
        <w:rPr>
          <w:shd w:fill="FFFF00" w:val="clear"/>
        </w:rPr>
        <w:t>A similar pattern was observed for ID_N, which was found in all cancer types. Its sub-signature, InsDel_N</w:t>
      </w:r>
      <w:r>
        <w:rPr>
          <w:rFonts w:eastAsia="宋体"/>
          <w:shd w:fill="FFFF00" w:val="clear"/>
        </w:rPr>
        <w:t>α</w:t>
      </w:r>
      <w:r>
        <w:rPr>
          <w:shd w:fill="FFFF00" w:val="clear"/>
        </w:rPr>
        <w:t>, was specifically linked to POLE mutations and mismatch repair deficiency, whereas InsDel_N</w:t>
      </w:r>
      <w:r>
        <w:rPr>
          <w:rFonts w:eastAsia="宋体"/>
          <w:shd w:fill="FFFF00" w:val="clear"/>
        </w:rPr>
        <w:t>β</w:t>
      </w:r>
      <w:r>
        <w:rPr>
          <w:shd w:fill="FFFF00" w:val="clear"/>
        </w:rPr>
        <w:t xml:space="preserve"> was prevalent across a broad range of cancer types.</w:t>
      </w:r>
    </w:p>
    <w:p>
      <w:pPr>
        <w:pStyle w:val="Heading3"/>
        <w:numPr>
          <w:ilvl w:val="0"/>
          <w:numId w:val="0"/>
        </w:numPr>
        <w:ind w:hanging="0" w:start="0"/>
        <w:rPr>
          <w:i/>
          <w:iCs/>
          <w:sz w:val="24"/>
          <w:szCs w:val="24"/>
        </w:rPr>
      </w:pPr>
      <w:commentRangeStart w:id="1"/>
      <w:r>
        <w:rPr>
          <w:i/>
          <w:iCs/>
          <w:sz w:val="24"/>
          <w:szCs w:val="24"/>
        </w:rPr>
        <w:t>Associations between indel signatures and SBS signatures &lt;FOR STEVE TO REVIEW&gt;</w:t>
      </w:r>
      <w:commentRangeEnd w:id="1"/>
      <w:r>
        <w:commentReference w:id="1"/>
      </w:r>
      <w:r>
        <w:rPr>
          <w:i/>
          <w:iCs/>
          <w:sz w:val="24"/>
          <w:szCs w:val="24"/>
        </w:rPr>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Using unsupervised hierarchical clustering, we grouped mutational signatures into several distinct modules </w:t>
      </w:r>
      <w:r>
        <w:rPr>
          <w:shd w:fill="00FFFF" w:val="clear"/>
        </w:rPr>
        <w:t>(Figure 5)</w:t>
      </w:r>
      <w:r>
        <w:rPr/>
        <w:t>. The APOBEC-related cluster includes SBS2 and SBS13 and sho</w:t>
      </w:r>
      <w:r>
        <w:rPr>
          <w:rFonts w:eastAsia="宋体"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pPr>
        <w:pStyle w:val="Heading2"/>
        <w:rPr/>
      </w:pPr>
      <w:r>
        <w:rPr>
          <w:rFonts w:hint="eastAsia"/>
        </w:rPr>
        <w:t>Topography of indel mutational signatures &lt;MO EDIT&gt;</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C</w:t>
      </w:r>
      <w:r>
        <w:rPr>
          <w:shd w:fill="00FFFF" w:val="clear"/>
        </w:rPr>
        <w:t xml:space="preserve">, Table </w:t>
      </w:r>
      <w:r>
        <w:rPr>
          <w:rFonts w:hint="eastAsia"/>
          <w:shd w:fill="00FFFF" w:val="clear"/>
        </w:rPr>
        <w:t>S</w:t>
      </w:r>
      <w:r>
        <w:rPr>
          <w:rFonts w:eastAsia="宋体" w:hint="eastAsia"/>
          <w:shd w:fill="00FFFF" w:val="clear"/>
        </w:rPr>
        <w:t>12</w:t>
      </w:r>
      <w:r>
        <w:rPr/>
        <w:t xml:space="preserve">). Signatures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rPr/>
        <w:t xml:space="preserve"> (topoisomerase-1 (TOP1) associated mutagenesis stemming from RNase H2 deficiency). Interestingly, 3 defective MMR signatures also showed transcription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B</w:t>
      </w:r>
      <w:r>
        <w:rPr>
          <w:shd w:fill="00FFFF" w:val="clear"/>
        </w:rPr>
        <w:t xml:space="preserve">, Table </w:t>
      </w:r>
      <w:r>
        <w:rPr>
          <w:rFonts w:hint="eastAsia"/>
          <w:shd w:fill="00FFFF" w:val="clear"/>
        </w:rPr>
        <w:t>S</w:t>
      </w:r>
      <w:r>
        <w:rPr>
          <w:rFonts w:eastAsia="宋体" w:hint="eastAsia"/>
          <w:shd w:fill="00FFFF" w:val="clear"/>
        </w:rPr>
        <w:t>12</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w:t>
      </w:r>
      <w:r>
        <w:rPr>
          <w:rFonts w:eastAsia="宋体" w:cs="宋体" w:hint="eastAsia" w:ascii="宋体" w:hAnsi="宋体"/>
        </w:rPr>
        <w:t>,</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3</w:t>
      </w:r>
      <w:r>
        <w:rPr>
          <w:shd w:fill="00FFFF" w:val="clear"/>
        </w:rPr>
        <w:t>,</w:t>
      </w:r>
      <w:r>
        <w:rPr/>
        <w:t xml:space="preserve"> </w:t>
      </w:r>
      <w:r>
        <w:rPr>
          <w:shd w:fill="00FFFF" w:val="clear"/>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宋体" w:hint="eastAsia"/>
          <w:shd w:fill="00FFFF" w:val="clear"/>
        </w:rPr>
        <w:t>4</w:t>
      </w:r>
      <w:r>
        <w:rPr>
          <w:shd w:fill="00FFFF" w:val="clear"/>
        </w:rPr>
        <w:t>, Table S</w:t>
      </w:r>
      <w:r>
        <w:rPr>
          <w:rFonts w:eastAsia="宋体" w:hint="eastAsia"/>
          <w:shd w:fill="00FFFF" w:val="clear"/>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(Jin et al. 2024; Reijns et al. 2022; Koh et al. 2025)</w:t>
      </w:r>
      <w:bookmarkEnd w:id="19"/>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7</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 xml:space="preserve">&lt;Put the mice first&gt; </w:t>
      </w:r>
      <w:r>
        <w:rPr/>
        <w:t>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fill="00FFFF" w:val="clear"/>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宋体"/>
        </w:rPr>
      </w:pPr>
      <w:r>
        <w:rPr/>
        <w:t>Demographic Associations</w:t>
      </w:r>
      <w:r>
        <w:rPr>
          <w:rFonts w:eastAsia="宋体" w:hint="eastAsia"/>
        </w:rPr>
        <w:t xml:space="preserve"> with Gender and Age STEVE REVIEW</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fill="00FFFF" w:val="clear"/>
        </w:rPr>
        <w:t>Figure S6A,</w:t>
      </w:r>
      <w:r>
        <w:rPr>
          <w:rFonts w:eastAsia="宋体" w:hint="eastAsia"/>
        </w:rPr>
        <w:t xml:space="preserve"> </w:t>
      </w:r>
      <w:r>
        <w:rPr>
          <w:rFonts w:eastAsia="宋体" w:hint="eastAsia"/>
          <w:shd w:fill="00FFFF" w:val="clear"/>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fill="00FFFF" w:val="clear"/>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fill="FFFF00" w:val="clear"/>
        </w:rPr>
        <w:t>(</w:t>
      </w:r>
      <w:r>
        <w:rPr>
          <w:rFonts w:eastAsia="宋体" w:hint="eastAsia"/>
          <w:shd w:fill="00FFFF" w:val="clear"/>
        </w:rPr>
        <w:t>Table S16</w:t>
      </w:r>
      <w:r>
        <w:rPr>
          <w:rFonts w:eastAsia="宋体" w:hint="eastAsia"/>
          <w:shd w:fill="FFFF00" w:val="clear"/>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宋体"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2"/>
      <w:commentRangeStart w:id="3"/>
      <w:commentRangeStart w:id="4"/>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10">
        <w:r>
          <w:rPr>
            <w:rStyle w:val="Hyperlink"/>
          </w:rPr>
          <w:t>https://dcc.icgc.org/releases/current/Projects/</w:t>
        </w:r>
      </w:hyperlink>
      <w:r>
        <w:rPr/>
        <w:t>, which has been retired. The data were downloaded on 9 May, 2024</w:t>
      </w:r>
      <w:r>
        <w:rPr>
          <w:rFonts w:eastAsia="宋体" w:hint="eastAsia"/>
        </w:rPr>
        <w:t>)</w:t>
      </w:r>
      <w:r>
        <w:rPr/>
        <w:t>. Hartwig Medical Foundation</w:t>
      </w:r>
      <w:r>
        <w:rPr>
          <w:rFonts w:eastAsia="宋体"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宋体"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These data was also provided</w:t>
      </w:r>
      <w:r>
        <w:rPr/>
        <w:t xml:space="preserve"> are available in Table S</w:t>
      </w:r>
      <w:r>
        <w:rPr>
          <w:rFonts w:hint="eastAsia"/>
        </w:rPr>
        <w:t>1</w:t>
      </w:r>
      <w:r>
        <w:rPr>
          <w:rFonts w:eastAsia="宋体" w:hint="eastAsia"/>
        </w:rPr>
        <w:t>6</w:t>
      </w:r>
      <w:r>
        <w:rPr>
          <w:rFonts w:hint="eastAsia"/>
        </w:rPr>
        <w:t xml:space="preserve"> in </w:t>
      </w:r>
      <w:bookmarkStart w:id="20" w:name="ZOTERO_BREF_Jmprd6S6YeS8"/>
      <w:r>
        <w:rPr>
          <w:rFonts w:hint="eastAsia"/>
        </w:rPr>
        <w:t>(Priestley et al. 2019)</w:t>
      </w:r>
      <w:bookmarkEnd w:id="20"/>
      <w:r>
        <w:rPr/>
        <w:t xml:space="preserve">. </w:t>
      </w:r>
    </w:p>
    <w:p>
      <w:pPr>
        <w:pStyle w:val="Heading2"/>
        <w:rPr/>
      </w:pPr>
      <w:r>
        <w:rPr>
          <w:rFonts w:hint="eastAsia"/>
        </w:rPr>
        <w:t xml:space="preserve">De novo </w:t>
      </w:r>
      <w:r>
        <w:rPr/>
        <w:t>Mutational signature extraction</w:t>
      </w:r>
    </w:p>
    <w:p>
      <w:pPr>
        <w:pStyle w:val="Normal"/>
        <w:ind w:firstLineChars="20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rPr>
      </w:pPr>
      <w:r>
        <w:rPr>
          <w:rFonts w:eastAsia="宋体" w:hint="eastAsia"/>
        </w:rPr>
        <w:t xml:space="preserve">For 83-type signatures, the signatures were matched to previously identified COSMIC signatures (v3.5, </w:t>
      </w:r>
      <w:hyperlink r:id="rId11">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rPr>
      </w:pPr>
      <w:r>
        <w:rPr/>
        <w:t xml:space="preserve">We compared all </w:t>
      </w:r>
      <w:r>
        <w:rPr>
          <w:i/>
          <w:iCs/>
        </w:rPr>
        <w:t>de novo</w:t>
      </w:r>
      <w:r>
        <w:rPr/>
        <w:t xml:space="preserve"> signatures </w:t>
      </w:r>
      <w:r>
        <w:rPr>
          <w:rFonts w:eastAsia="宋体" w:hint="eastAsia"/>
        </w:rPr>
        <w:t xml:space="preserve">supported by both mSigHdp and SigProfilerExtractor </w:t>
      </w:r>
      <w:r>
        <w:rPr/>
        <w:t xml:space="preserve">to </w:t>
      </w:r>
      <w:r>
        <w:rPr>
          <w:rFonts w:eastAsia="宋体" w:hint="eastAsia"/>
        </w:rPr>
        <w:t>the published</w:t>
      </w:r>
      <w:r>
        <w:rPr/>
        <w:t xml:space="preserve"> signatures and categorized them into three groups: (1) known signature: if</w:t>
      </w:r>
      <w:r>
        <w:rPr>
          <w:rFonts w:eastAsia="宋体"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rPr>
        <w:t xml:space="preserve">extracted </w:t>
      </w:r>
      <w:r>
        <w:rPr/>
        <w:t xml:space="preserve">signatures do not fit into the known signatures or the merged signatures. </w:t>
      </w:r>
      <w:r>
        <w:rPr>
          <w:rFonts w:eastAsia="宋体" w:hint="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 xml:space="preserve">First, we applied the find_best_reconstruction_QP function from the </w:t>
      </w:r>
      <w:r>
        <w:rPr>
          <w:rFonts w:eastAsia="宋体"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2">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3">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4">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were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5">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宋体" w:hint="eastAsia"/>
        </w:rPr>
        <w:t xml:space="preserve">an 83-type </w:t>
      </w:r>
      <w:r>
        <w:rPr/>
        <w:t xml:space="preserve">signature was determined for both real and simulated data. An </w:t>
      </w:r>
      <w:r>
        <w:rPr>
          <w:rFonts w:eastAsia="宋体"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宋体" w:hint="eastAsia"/>
        </w:rPr>
        <w:t>83-type</w:t>
      </w:r>
      <w:r>
        <w:rPr/>
        <w:t xml:space="preserve"> signature for the two datasets (real and simulated data) were different, the relative trend for real data comparing the simulated data was the final trend for the </w:t>
      </w:r>
      <w:r>
        <w:rPr>
          <w:rFonts w:eastAsia="宋体" w:hint="eastAsia"/>
        </w:rPr>
        <w:t>83-type</w:t>
      </w:r>
      <w:r>
        <w:rPr/>
        <w:t xml:space="preserve"> signature. Otherwise, if the trends of a certain </w:t>
      </w:r>
      <w:r>
        <w:rPr>
          <w:rFonts w:eastAsia="宋体"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宋体"/>
        </w:rPr>
      </w:pPr>
      <w:r>
        <w:rPr/>
        <w:t xml:space="preserve">Similarly, the final trend of an </w:t>
      </w:r>
      <w:r>
        <w:rPr>
          <w:rFonts w:eastAsia="宋体" w:hint="eastAsia"/>
        </w:rPr>
        <w:t>83-type</w:t>
      </w:r>
      <w:r>
        <w:rPr/>
        <w:t xml:space="preserve"> signature were determined by the significance of the coefficient of replication timing. If it is not significant, an </w:t>
      </w:r>
      <w:r>
        <w:rPr>
          <w:rFonts w:eastAsia="宋体" w:hint="eastAsia"/>
        </w:rPr>
        <w:t>83-type</w:t>
      </w:r>
      <w:r>
        <w:rPr/>
        <w:t xml:space="preserve"> signature was considered to be generally unaffected by replication timing. Otherwise, if the coefficient of replication timing &gt; 0, an </w:t>
      </w:r>
      <w:r>
        <w:rPr>
          <w:rFonts w:eastAsia="宋体" w:hint="eastAsia"/>
        </w:rPr>
        <w:t>83-type</w:t>
      </w:r>
      <w:r>
        <w:rPr/>
        <w:t xml:space="preserve"> signature was considered to be increasing from early to late replicating regions; if the coefficient of replication timing &lt; 0, an </w:t>
      </w:r>
      <w:r>
        <w:rPr>
          <w:rFonts w:eastAsia="宋体" w:hint="eastAsia"/>
        </w:rPr>
        <w:t>83-type</w:t>
      </w:r>
      <w:r>
        <w:rPr/>
        <w:t xml:space="preserve"> signature was considered to be decreasing from early to late replicating regions.</w:t>
      </w:r>
    </w:p>
    <w:p>
      <w:pPr>
        <w:pStyle w:val="Normal"/>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宋体"/>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宋体" w:hint="eastAsia"/>
        </w:rPr>
        <w:t xml:space="preserve">, and </w:t>
      </w:r>
      <w:r>
        <w:rPr>
          <w:rFonts w:hint="eastAsia"/>
        </w:rPr>
        <w:t xml:space="preserve">R.Y. characterized the topography of 83-type mutational signatures. </w:t>
      </w:r>
      <w:r>
        <w:rPr>
          <w:rFonts w:eastAsia="宋体"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宋体"/>
        </w:rPr>
      </w:pPr>
      <w:r>
        <w:rPr>
          <w:b/>
          <w:bCs/>
        </w:rPr>
        <w:t>Declaration of generative AI and AI-assisted technologies in the writing process.</w:t>
      </w:r>
      <w:r>
        <w:rPr>
          <w:rFonts w:eastAsia="宋体"/>
        </w:rPr>
        <w:t xml:space="preserve">  </w:t>
      </w:r>
    </w:p>
    <w:p>
      <w:pPr>
        <w:pStyle w:val="normalfirst"/>
        <w:rPr>
          <w:rFonts w:eastAsia="宋体" w:hint="eastAsia"/>
        </w:rPr>
      </w:pPr>
      <w:r>
        <w:rPr>
          <w:rFonts w:eastAsia="宋体"/>
        </w:rPr>
        <w:t xml:space="preserve">During the preparation of this work the author(s) used </w:t>
      </w:r>
      <w:r>
        <w:rPr>
          <w:rFonts w:eastAsia="宋体" w:hint="eastAsia"/>
        </w:rPr>
        <w:t xml:space="preserve">Claude </w:t>
      </w:r>
      <w:r>
        <w:rPr>
          <w:rFonts w:eastAsia="宋体"/>
        </w:rPr>
        <w:t xml:space="preserve">in order to </w:t>
      </w:r>
      <w:r>
        <w:rPr/>
        <w:t>polish the text and ensure grammatical accuracy and appropriate vocabulary usage</w:t>
      </w:r>
      <w:r>
        <w:rPr>
          <w:rFonts w:eastAsia="宋体"/>
        </w:rPr>
        <w:t>. After using this tool/service, the author(s) reviewed and edited the content as needed and take(s) full responsibility for the content of the published article.</w:t>
      </w:r>
    </w:p>
    <w:p>
      <w:pPr>
        <w:pStyle w:val="Heading1"/>
        <w:rPr/>
      </w:pPr>
      <w:r>
        <w:rPr/>
        <w:t>Reference</w:t>
      </w:r>
    </w:p>
    <w:p>
      <w:pPr>
        <w:pStyle w:val="Bibliography1"/>
        <w:rPr/>
      </w:pPr>
      <w:bookmarkStart w:id="21"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1"/>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6"/>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7"/>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8"/>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p>
    <w:p>
      <w:pPr>
        <w:pStyle w:val="Normal"/>
        <w:ind w:hanging="0"/>
        <w:rPr>
          <w:rFonts w:eastAsia="宋体" w:eastAsiaTheme="minorEastAsia"/>
          <w:sz w:val="28"/>
          <w:szCs w:val="28"/>
        </w:rPr>
      </w:pPr>
      <w:r>
        <w:rPr>
          <w:rFonts w:eastAsia="宋体" w:eastAsiaTheme="minorEastAsia"/>
          <w:sz w:val="28"/>
          <w:szCs w:val="28"/>
        </w:rPr>
      </w:r>
      <w:r>
        <w:br w:type="page"/>
      </w:r>
    </w:p>
    <w:p>
      <w:pPr>
        <w:pStyle w:val="Normal"/>
        <w:spacing w:lineRule="auto" w:line="240" w:before="0" w:after="0"/>
        <w:ind w:hanging="0"/>
        <w:rPr>
          <w:rFonts w:eastAsia="宋体" w:eastAsiaTheme="minorEastAsia"/>
        </w:rPr>
      </w:pPr>
      <w:r>
        <w:rPr/>
        <w:drawing>
          <wp:inline distT="0" distB="0" distL="0" distR="0">
            <wp:extent cx="5939790" cy="479488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9"/>
                    <a:stretch>
                      <a:fillRect/>
                    </a:stretch>
                  </pic:blipFill>
                  <pic:spPr bwMode="auto">
                    <a:xfrm>
                      <a:off x="0" y="0"/>
                      <a:ext cx="5939790" cy="479488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4a Activity of 83-type and 89-type mutational signatures across cancer types (part1, InsDel1a to InsDel14)</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5939790" cy="437324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20"/>
                    <a:stretch>
                      <a:fillRect/>
                    </a:stretch>
                  </pic:blipFill>
                  <pic:spPr bwMode="auto">
                    <a:xfrm>
                      <a:off x="0" y="0"/>
                      <a:ext cx="5939790" cy="437324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4</w:t>
      </w:r>
      <w:r>
        <w:rPr>
          <w:rFonts w:eastAsia="宋体" w:hint="eastAsia" w:eastAsiaTheme="minorEastAsia"/>
          <w:b/>
          <w:bCs/>
          <w:sz w:val="18"/>
          <w:szCs w:val="18"/>
        </w:rPr>
        <w:t>b</w:t>
      </w:r>
      <w:r>
        <w:rPr>
          <w:rFonts w:hint="eastAsia"/>
          <w:b/>
          <w:bCs/>
          <w:sz w:val="18"/>
          <w:szCs w:val="18"/>
        </w:rPr>
        <w:t xml:space="preserve"> Activity of 83-type and 89-type mutational signatures across cancer types (part1, InsDel</w:t>
      </w:r>
      <w:r>
        <w:rPr>
          <w:rFonts w:eastAsia="宋体" w:hint="eastAsia" w:eastAsiaTheme="minorEastAsia"/>
          <w:b/>
          <w:bCs/>
          <w:sz w:val="18"/>
          <w:szCs w:val="18"/>
        </w:rPr>
        <w:t>17</w:t>
      </w:r>
      <w:r>
        <w:rPr>
          <w:rFonts w:hint="eastAsia"/>
          <w:b/>
          <w:bCs/>
          <w:sz w:val="18"/>
          <w:szCs w:val="18"/>
        </w:rPr>
        <w:t xml:space="preserve"> to InsDel</w:t>
      </w:r>
      <w:r>
        <w:rPr>
          <w:rFonts w:eastAsia="宋体" w:hint="eastAsia" w:eastAsiaTheme="minorEastAsia"/>
          <w:b/>
          <w:bCs/>
          <w:sz w:val="18"/>
          <w:szCs w:val="18"/>
        </w:rPr>
        <w:t>_N</w:t>
      </w:r>
      <w:r>
        <w:rPr>
          <w:rFonts w:eastAsia="宋体" w:eastAsiaTheme="minorEastAsia"/>
          <w:b/>
          <w:bCs/>
          <w:sz w:val="18"/>
          <w:szCs w:val="18"/>
        </w:rPr>
        <w:t>β</w:t>
      </w:r>
      <w:r>
        <w:rPr>
          <w:rFonts w:hint="eastAsia"/>
          <w:b/>
          <w:bCs/>
          <w:sz w:val="18"/>
          <w:szCs w:val="18"/>
        </w:rPr>
        <w:t>)</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pPr>
      <w:r>
        <w:rPr/>
      </w:r>
      <w:r>
        <w:br w:type="page"/>
      </w:r>
    </w:p>
    <w:p>
      <w:pPr>
        <w:pStyle w:val="Normal"/>
        <w:spacing w:before="0" w:after="160"/>
        <w:ind w:hanging="0"/>
        <w:rPr>
          <w:rFonts w:eastAsia="宋体" w:eastAsiaTheme="minorEastAsia"/>
          <w:b/>
          <w:bCs/>
          <w:sz w:val="16"/>
          <w:szCs w:val="16"/>
        </w:rPr>
      </w:pPr>
      <w:r>
        <w:rPr/>
        <w:drawing>
          <wp:inline distT="0" distB="0" distL="0" distR="0">
            <wp:extent cx="5441950" cy="617728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21"/>
                    <a:stretch>
                      <a:fillRect/>
                    </a:stretch>
                  </pic:blipFill>
                  <pic:spPr bwMode="auto">
                    <a:xfrm>
                      <a:off x="0" y="0"/>
                      <a:ext cx="5441950" cy="617728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t xml:space="preserve">Figure </w:t>
      </w:r>
      <w:r>
        <w:rPr>
          <w:rFonts w:eastAsia="宋体" w:hint="eastAsia" w:eastAsiaTheme="minorEastAsia"/>
          <w:b/>
          <w:bCs/>
          <w:sz w:val="18"/>
          <w:szCs w:val="18"/>
        </w:rPr>
        <w:t>5</w:t>
      </w:r>
      <w:r>
        <w:rPr>
          <w:rFonts w:eastAsia="宋体" w:eastAsiaTheme="minorEastAsia"/>
          <w:b/>
          <w:bCs/>
          <w:sz w:val="18"/>
          <w:szCs w:val="18"/>
        </w:rPr>
        <w:t xml:space="preserve"> </w:t>
      </w:r>
      <w:r>
        <w:rPr>
          <w:rFonts w:eastAsia="宋体" w:hint="eastAsia" w:eastAsiaTheme="minorEastAsia"/>
          <w:b/>
          <w:bCs/>
          <w:sz w:val="18"/>
          <w:szCs w:val="18"/>
        </w:rPr>
        <w:t xml:space="preserve">Association of </w:t>
      </w:r>
      <w:r>
        <w:rPr>
          <w:rFonts w:eastAsia="宋体" w:eastAsiaTheme="minorEastAsia"/>
          <w:b/>
          <w:bCs/>
          <w:sz w:val="18"/>
          <w:szCs w:val="18"/>
        </w:rPr>
        <w:t>8</w:t>
      </w:r>
      <w:r>
        <w:rPr>
          <w:rFonts w:eastAsia="宋体" w:hint="eastAsia" w:eastAsiaTheme="minorEastAsia"/>
          <w:b/>
          <w:bCs/>
          <w:sz w:val="18"/>
          <w:szCs w:val="18"/>
        </w:rPr>
        <w:t>3-ty</w:t>
      </w:r>
      <w:r>
        <w:rPr>
          <w:rFonts w:eastAsia="宋体" w:eastAsiaTheme="minorEastAsia"/>
          <w:b/>
          <w:bCs/>
          <w:sz w:val="18"/>
          <w:szCs w:val="18"/>
        </w:rPr>
        <w:t>pe/8</w:t>
      </w:r>
      <w:r>
        <w:rPr>
          <w:rFonts w:eastAsia="宋体" w:hint="eastAsia" w:eastAsiaTheme="minorEastAsia"/>
          <w:b/>
          <w:bCs/>
          <w:sz w:val="18"/>
          <w:szCs w:val="18"/>
        </w:rPr>
        <w:t>9-ty</w:t>
      </w:r>
      <w:r>
        <w:rPr>
          <w:rFonts w:eastAsia="宋体" w:eastAsiaTheme="minorEastAsia"/>
          <w:b/>
          <w:bCs/>
          <w:sz w:val="18"/>
          <w:szCs w:val="18"/>
        </w:rPr>
        <w:t xml:space="preserve">pe indel signatures </w:t>
      </w:r>
      <w:r>
        <w:rPr>
          <w:rFonts w:eastAsia="宋体" w:hint="eastAsia" w:eastAsiaTheme="minorEastAsia"/>
          <w:b/>
          <w:bCs/>
          <w:sz w:val="18"/>
          <w:szCs w:val="18"/>
        </w:rPr>
        <w:t>with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(A)</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宋体" w:hint="eastAsia" w:eastAsiaTheme="minorEastAsia"/>
          <w:sz w:val="18"/>
          <w:szCs w:val="18"/>
        </w:rPr>
        <w:t>seven</w:t>
      </w:r>
      <w:r>
        <w:rPr>
          <w:rFonts w:eastAsia="宋体" w:eastAsiaTheme="minorEastAsia"/>
          <w:sz w:val="18"/>
          <w:szCs w:val="18"/>
        </w:rPr>
        <w:t xml:space="preserve"> biological modules: MMR</w:t>
      </w:r>
      <w:r>
        <w:rPr>
          <w:rFonts w:eastAsia="宋体" w:hint="eastAsia" w:eastAsiaTheme="minorEastAsia"/>
          <w:sz w:val="18"/>
          <w:szCs w:val="18"/>
        </w:rPr>
        <w:t xml:space="preserve"> (DNA mismatch repair)</w:t>
      </w:r>
      <w:r>
        <w:rPr>
          <w:rFonts w:eastAsia="宋体" w:eastAsiaTheme="minorEastAsia"/>
          <w:sz w:val="18"/>
          <w:szCs w:val="18"/>
        </w:rPr>
        <w:t xml:space="preserve"> defects, GI-ROS</w:t>
      </w:r>
      <w:r>
        <w:rPr>
          <w:rFonts w:eastAsia="宋体" w:hint="eastAsia" w:eastAsiaTheme="minorEastAsia"/>
          <w:sz w:val="18"/>
          <w:szCs w:val="18"/>
        </w:rPr>
        <w:t xml:space="preserve"> (</w:t>
      </w:r>
      <w:r>
        <w:rPr>
          <w:rFonts w:eastAsia="宋体" w:eastAsiaTheme="minorEastAsia"/>
          <w:sz w:val="18"/>
          <w:szCs w:val="18"/>
        </w:rPr>
        <w:t>Gastrointestinal</w:t>
      </w:r>
      <w:r>
        <w:rPr>
          <w:rFonts w:eastAsia="宋体" w:hint="eastAsia" w:eastAsiaTheme="minorEastAsia"/>
          <w:sz w:val="18"/>
          <w:szCs w:val="18"/>
        </w:rPr>
        <w:t>-</w:t>
      </w:r>
      <w:r>
        <w:rPr>
          <w:rFonts w:eastAsia="宋体" w:eastAsiaTheme="minorEastAsia"/>
          <w:sz w:val="18"/>
          <w:szCs w:val="18"/>
        </w:rPr>
        <w:t>Reactive Oxygen Species</w:t>
      </w:r>
      <w:r>
        <w:rPr>
          <w:rFonts w:eastAsia="宋体" w:hint="eastAsia" w:eastAsiaTheme="minorEastAsia"/>
          <w:sz w:val="18"/>
          <w:szCs w:val="18"/>
        </w:rPr>
        <w:t>)</w:t>
      </w:r>
      <w:r>
        <w:rPr>
          <w:rFonts w:eastAsia="宋体" w:eastAsiaTheme="minorEastAsia"/>
          <w:sz w:val="18"/>
          <w:szCs w:val="18"/>
        </w:rPr>
        <w:t xml:space="preserve">, UV exposure, </w:t>
      </w:r>
      <w:r>
        <w:rPr>
          <w:rFonts w:eastAsia="宋体" w:hint="eastAsia" w:eastAsiaTheme="minorEastAsia"/>
          <w:sz w:val="18"/>
          <w:szCs w:val="18"/>
        </w:rPr>
        <w:t>L</w:t>
      </w:r>
      <w:r>
        <w:rPr>
          <w:rFonts w:eastAsia="宋体" w:eastAsiaTheme="minorEastAsia"/>
          <w:sz w:val="18"/>
          <w:szCs w:val="18"/>
        </w:rPr>
        <w:t>iver, HR</w:t>
      </w:r>
      <w:r>
        <w:rPr>
          <w:rFonts w:eastAsia="宋体" w:hint="eastAsia" w:eastAsiaTheme="minorEastAsia"/>
          <w:sz w:val="18"/>
          <w:szCs w:val="18"/>
        </w:rPr>
        <w:t xml:space="preserve"> (</w:t>
      </w:r>
      <w:r>
        <w:rPr>
          <w:rFonts w:eastAsia="宋体" w:eastAsiaTheme="minorEastAsia"/>
          <w:sz w:val="18"/>
          <w:szCs w:val="18"/>
        </w:rPr>
        <w:t>DNA homologous recombination repair</w:t>
      </w:r>
      <w:r>
        <w:rPr>
          <w:rFonts w:eastAsia="宋体" w:hint="eastAsia" w:eastAsiaTheme="minorEastAsia"/>
          <w:sz w:val="18"/>
          <w:szCs w:val="18"/>
        </w:rPr>
        <w:t>)</w:t>
      </w:r>
      <w:r>
        <w:rPr>
          <w:rFonts w:eastAsia="宋体" w:eastAsiaTheme="minorEastAsia"/>
          <w:sz w:val="18"/>
          <w:szCs w:val="18"/>
        </w:rPr>
        <w:t xml:space="preserve"> defects, </w:t>
      </w:r>
      <w:r>
        <w:rPr>
          <w:rFonts w:eastAsia="宋体" w:hint="eastAsia" w:eastAsiaTheme="minorEastAsia"/>
          <w:sz w:val="18"/>
          <w:szCs w:val="18"/>
        </w:rPr>
        <w:t>L</w:t>
      </w:r>
      <w:r>
        <w:rPr>
          <w:rFonts w:eastAsia="宋体" w:eastAsiaTheme="minorEastAsia"/>
          <w:sz w:val="18"/>
          <w:szCs w:val="18"/>
        </w:rPr>
        <w:t>ung tobacco smoking</w:t>
      </w:r>
      <w:r>
        <w:rPr>
          <w:rFonts w:eastAsia="宋体" w:hint="eastAsia" w:eastAsiaTheme="minorEastAsia"/>
          <w:sz w:val="18"/>
          <w:szCs w:val="18"/>
        </w:rPr>
        <w:t xml:space="preserve"> and APOBEC mutagenesis</w:t>
      </w:r>
      <w:r>
        <w:rPr>
          <w:rFonts w:eastAsia="宋体" w:eastAsiaTheme="minorEastAsia"/>
          <w:sz w:val="18"/>
          <w:szCs w:val="18"/>
        </w:rPr>
        <w:t>. Each signature is annotated according to the cluster to which it belongs.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 xml:space="preserve"> Enrichment of 83-type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sz w:val="28"/>
          <w:szCs w:val="28"/>
        </w:rPr>
      </w:pPr>
      <w:r>
        <w:rPr>
          <w:rFonts w:eastAsia="宋体" w:hint="eastAsia" w:eastAsiaTheme="minorEastAsia"/>
          <w:b/>
          <w:bCs/>
          <w:sz w:val="18"/>
          <w:szCs w:val="18"/>
        </w:rPr>
        <w:t>(C)</w:t>
      </w:r>
      <w:r>
        <w:rPr>
          <w:rFonts w:eastAsia="宋体" w:hint="eastAsia" w:eastAsiaTheme="minorEastAsia"/>
          <w:sz w:val="18"/>
          <w:szCs w:val="18"/>
        </w:rPr>
        <w:t xml:space="preserve"> Enrichment of 89-type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22"/>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23"/>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宋体" w:cs="Noto Sans Arabic UI"/>
          <w:sz w:val="22"/>
          <w:szCs w:val="22"/>
        </w:rPr>
      </w:pPr>
      <w:r>
        <w:rPr>
          <w:rFonts w:eastAsia="宋体" w:cs="Noto Sans Arabic UI" w:ascii="Calibri" w:hAnsi="Calibri"/>
          <w:sz w:val="22"/>
          <w:szCs w:val="22"/>
        </w:rPr>
      </w:r>
    </w:p>
    <w:sectPr>
      <w:footerReference w:type="even" r:id="rId24"/>
      <w:footerReference w:type="default" r:id="rId25"/>
      <w:footerReference w:type="first" r:id="rId26"/>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6-18T19:22:00Z" w:initials="ML">
    <w:p>
      <w:pPr>
        <w:overflowPunct w:val="false"/>
        <w:spacing w:before="0" w:after="0" w:lineRule="auto" w:line="240"/>
        <w:rPr/>
      </w:pPr>
      <w:r>
        <w:annotationRef/>
      </w:r>
      <w:r>
        <w:rPr>
          <w:rFonts w:cs="Noto Sans Arabic UI" w:eastAsia="宋体" w:ascii="Calibri" w:hAnsi="Calibri"/>
          <w:sz w:val="22"/>
          <w:szCs w:val="22"/>
        </w:rPr>
        <w:t>To Steve: Please check the text used in the figure is appropriate</w:t>
      </w:r>
    </w:p>
  </w:comment>
  <w:comment w:id="1" w:author="Mo Liu" w:date="2026-05-20T09:26:00Z" w:initials="ML">
    <w:p>
      <w:pPr>
        <w:overflowPunct w:val="true"/>
        <w:spacing w:lineRule="auto" w:line="240" w:before="0" w:after="0"/>
        <w:rPr/>
      </w:pPr>
      <w:r>
        <w:annotationRef/>
      </w:r>
      <w:r>
        <w:rPr>
          <w:rFonts w:eastAsia="宋体" w:cs="Noto Sans Arabic UI" w:ascii="Calibri" w:hAnsi="Calibri"/>
          <w:sz w:val="22"/>
          <w:szCs w:val="22"/>
        </w:rPr>
        <w:t>I added cancer type enrichment plot to Figure 5</w:t>
      </w:r>
    </w:p>
  </w:comment>
  <w:comment w:id="4" w:author="Mo Liu" w:date="2026-05-25T13:45:00Z" w:initials="ML">
    <w:p w14:paraId="01000000">
      <w:pPr>
        <w:overflowPunct w:val="true"/>
        <w:spacing w:lineRule="auto" w:line="240" w:before="0" w:after="0"/>
        <w:rPr/>
      </w:pPr>
      <w:r>
        <w:annotationRef/>
      </w:r>
      <w:r>
        <w:rPr>
          <w:rFonts w:eastAsia="宋体" w:cs="Noto Sans Arabic UI" w:ascii="Calibri" w:hAnsi="Calibri"/>
          <w:sz w:val="22"/>
          <w:szCs w:val="22"/>
        </w:rPr>
        <w:t>This is true. But not sure if this worths mentioning?</w:t>
      </w:r>
    </w:p>
  </w:comment>
  <w:comment w:id="3" w:author="Steve Rozen, Ph.D." w:date="2026-05-28T17:52:00Z" w:initials="SR">
    <w:p w14:paraId="02000000">
      <w:pPr>
        <w:overflowPunct w:val="tru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2" w:author="Mo Liu" w:date="2026-05-29T16:03:00Z" w:initials="ML">
    <w:p w14:paraId="03000000">
      <w:pPr>
        <w:overflowPunct w:val="false"/>
        <w:spacing w:before="0" w:after="0" w:lineRule="auto" w:line="240"/>
        <w:rPr/>
      </w:pPr>
      <w:r>
        <w:annotationRef/>
      </w:r>
      <w:r>
        <w:rPr>
          <w:rFonts w:eastAsia="宋体" w:cs="Noto Sans Arabic UI" w:ascii="Calibri" w:hAnsi="Calibri"/>
          <w:sz w:val="22"/>
          <w:szCs w:val="22"/>
        </w:rPr>
        <w:t>I update via email.</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w:altName w:val="Roboto"/>
    <w:charset w:val="01" w:characterSet="utf-8"/>
    <w:family w:val="roman"/>
    <w:pitch w:val="variable"/>
  </w:font>
  <w:font w:name="DejaVu Sans">
    <w:charset w:val="01" w:characterSet="utf-8"/>
    <w:family w:val="swiss"/>
    <w:pitch w:val="variable"/>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hyperlink" Target="https://manusights.com/blog/cell-formatting-requirements" TargetMode="External"/><Relationship Id="rId5" Type="http://schemas.openxmlformats.org/officeDocument/2006/relationships/hyperlink" Target="https://www.cell.com/cell-genomics/information-for-authors/article-types" TargetMode="External"/><Relationship Id="rId6" Type="http://schemas.openxmlformats.org/officeDocument/2006/relationships/hyperlink" Target="https://manusights.com/blog/cell-formatting-requirements" TargetMode="External"/><Relationship Id="rId7" Type="http://schemas.openxmlformats.org/officeDocument/2006/relationships/hyperlink" Target="https://www.cell.com/multi-journal-submission/authors" TargetMode="External"/><Relationship Id="rId8" Type="http://schemas.openxmlformats.org/officeDocument/2006/relationships/hyperlink" Target="https://www.cell.com/cell/information-for-authors/article-types" TargetMode="External"/><Relationship Id="rId9" Type="http://schemas.openxmlformats.org/officeDocument/2006/relationships/image" Target="media/image1.png"/><Relationship Id="rId10" Type="http://schemas.openxmlformats.org/officeDocument/2006/relationships/hyperlink" Target="https://dcc.icgc.org/releases/current/Projects/" TargetMode="External"/><Relationship Id="rId11" Type="http://schemas.openxmlformats.org/officeDocument/2006/relationships/hyperlink" Target="https://cancer.sanger.ac.uk/signatures/id/" TargetMode="External"/><Relationship Id="rId12" Type="http://schemas.openxmlformats.org/officeDocument/2006/relationships/hyperlink" Target="https://bmcbioinformatics.biomedcentral.com/articles/10.1186/s12859-020-03772-3" TargetMode="External"/><Relationship Id="rId13" Type="http://schemas.openxmlformats.org/officeDocument/2006/relationships/hyperlink" Target="https://doi.org/10.1016/j.celrep.2023.112930" TargetMode="External"/><Relationship Id="rId14" Type="http://schemas.openxmlformats.org/officeDocument/2006/relationships/hyperlink" Target="https://hgdownload.cse.ucsc.edu/goldenPath/hg19/encodeDCC/wgEncodeUwRepliSeq/" TargetMode="External"/><Relationship Id="rId15" Type="http://schemas.openxmlformats.org/officeDocument/2006/relationships/hyperlink" Target="https://genomebiology.biomedcentral.com/articles/10.1186/s13059-018-1509-y"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comments" Target="comments.xml"/><Relationship Id="rId28" Type="http://schemas.microsoft.com/office/2011/relationships/commentsExtended" Target="commentsExtended.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LibreOffice/26.2.2.2$Linux_X86_64 LibreOffice_project/620$Build-2</Application>
  <AppVersion>15.0000</AppVersion>
  <Pages>41</Pages>
  <Words>9694</Words>
  <Characters>58016</Characters>
  <CharactersWithSpaces>67352</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2026-06-18T11:33:00Z</dcterms:created>
  <dc:creator>Mo Liu</dc:creator>
  <dc:description/>
  <dc:language>en-US</dc:language>
  <cp:lastModifiedBy/>
  <cp:lastPrinted>2025-06-06T09:23:00Z</cp:lastPrinted>
  <dcterms:modified xsi:type="dcterms:W3CDTF">2026-06-18T20:22:40Z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