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宋体" w:hint="eastAsia"/>
          <w:sz w:val="20"/>
          <w:szCs w:val="20"/>
        </w:rPr>
      </w:pPr>
      <w:r>
        <w:rPr>
          <w:rFonts w:eastAsia="宋体" w:hint="eastAsia" w:ascii="Google Sans;Roboto;Arial;sans-s" w:hAnsi="Google Sans;Roboto;Arial;sans-s"/>
          <w:sz w:val="20"/>
          <w:szCs w:val="20"/>
        </w:rPr>
      </w:r>
      <w:r>
        <w:br w:type="page"/>
      </w:r>
    </w:p>
    <w:p>
      <w:pPr>
        <w:pStyle w:val="Heading1"/>
        <w:spacing w:before="0" w:after="120"/>
        <w:rPr>
          <w:rFonts w:hint="eastAsia"/>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r>
        <w:rPr/>
        <w:drawing>
          <wp:inline distT="0" distB="0" distL="0" distR="0">
            <wp:extent cx="5943600" cy="63671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43600" cy="6367145"/>
                    </a:xfrm>
                    <a:prstGeom prst="rect">
                      <a:avLst/>
                    </a:prstGeom>
                    <a:noFill/>
                  </pic:spPr>
                </pic:pic>
              </a:graphicData>
            </a:graphic>
          </wp:inline>
        </w:drawing>
      </w:r>
    </w:p>
    <w:p>
      <w:pPr>
        <w:pStyle w:val="Normal"/>
        <w:spacing w:lineRule="auto" w:line="360" w:before="0" w:after="0"/>
        <w:ind w:hanging="0"/>
        <w:rPr>
          <w:rFonts w:eastAsia="宋体"/>
          <w:b/>
          <w:bCs/>
        </w:rPr>
      </w:pPr>
      <w:r>
        <w:rPr>
          <w:rFonts w:eastAsia="宋体"/>
          <w:b/>
          <w:bCs/>
        </w:rPr>
        <w:t>Highlights</w:t>
      </w:r>
    </w:p>
    <w:p>
      <w:pPr>
        <w:pStyle w:val="Normal"/>
        <w:numPr>
          <w:ilvl w:val="0"/>
          <w:numId w:val="3"/>
        </w:numPr>
        <w:spacing w:lineRule="auto" w:line="360" w:before="0" w:after="0"/>
        <w:rPr>
          <w:rFonts w:eastAsia="宋体"/>
        </w:rPr>
      </w:pPr>
      <w:r>
        <w:rPr>
          <w:rFonts w:eastAsia="宋体"/>
        </w:rPr>
        <w:t>Repertoire of indel signatures across 6,975 genomes in 3 indel classification schemes</w:t>
      </w:r>
    </w:p>
    <w:p>
      <w:pPr>
        <w:pStyle w:val="Normal"/>
        <w:numPr>
          <w:ilvl w:val="0"/>
          <w:numId w:val="3"/>
        </w:numPr>
        <w:spacing w:lineRule="auto" w:line="360" w:before="0" w:after="0"/>
        <w:rPr>
          <w:rFonts w:eastAsia="宋体"/>
        </w:rPr>
      </w:pPr>
      <w:r>
        <w:rPr>
          <w:rFonts w:eastAsia="宋体"/>
        </w:rPr>
        <w:t>Identified 26 novel 89-type and 1</w:t>
      </w:r>
      <w:r>
        <w:rPr>
          <w:rFonts w:eastAsia="宋体" w:hint="eastAsia"/>
        </w:rPr>
        <w:t>1</w:t>
      </w:r>
      <w:r>
        <w:rPr>
          <w:rFonts w:eastAsia="宋体"/>
        </w:rPr>
        <w:t xml:space="preserve"> novel 83-type classification indel signatures</w:t>
      </w:r>
    </w:p>
    <w:p>
      <w:pPr>
        <w:pStyle w:val="Normal"/>
        <w:numPr>
          <w:ilvl w:val="0"/>
          <w:numId w:val="3"/>
        </w:numPr>
        <w:spacing w:lineRule="auto" w:line="360" w:before="0" w:after="0"/>
        <w:rPr>
          <w:rFonts w:eastAsia="宋体"/>
        </w:rPr>
      </w:pPr>
      <w:r>
        <w:rPr>
          <w:rFonts w:eastAsia="宋体"/>
        </w:rPr>
        <w:t>Integrative topography across transcription, replication, and genic regions</w:t>
      </w:r>
    </w:p>
    <w:p>
      <w:pPr>
        <w:pStyle w:val="Normal"/>
        <w:numPr>
          <w:ilvl w:val="0"/>
          <w:numId w:val="3"/>
        </w:numPr>
        <w:spacing w:lineRule="auto" w:line="360" w:before="0" w:after="0"/>
        <w:rPr>
          <w:rFonts w:eastAsia="宋体"/>
        </w:rPr>
      </w:pPr>
      <w:r>
        <w:rPr>
          <w:rFonts w:eastAsia="宋体"/>
        </w:rPr>
        <w:t>Website and software for signature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of the 44 signatures, there were tumor spectra with cosine similarity &gt;</w:t>
      </w:r>
      <w:r>
        <w:rPr>
          <w:rFonts w:eastAsia="宋体"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w:t>
      </w:r>
      <w:r>
        <w:rPr>
          <w:shd w:fill="auto" w:val="clear"/>
        </w:rPr>
        <w:t xml:space="preserve">ibuted to </w:t>
      </w:r>
      <w:r>
        <w:rPr>
          <w:color w:val="000000"/>
          <w:shd w:fill="auto" w:val="clear"/>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highlight w:val="yellow"/>
        </w:rPr>
        <w:t>(Figure 4, Figure S1 / WE NEED TO RENUMBER ALL SUP FIGS</w:t>
      </w:r>
      <w:r>
        <w:rPr>
          <w:color w:val="000000"/>
          <w:highlight w:val="yellow"/>
          <w:shd w:fill="00FFFF" w:val="clear"/>
        </w:rPr>
        <w:t>)</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 possibly remove some of the sheets from table S9)</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宋体" w:hint="eastAsia"/>
          <w:shd w:fill="00FFFF" w:val="clear"/>
        </w:rPr>
        <w:t>4</w:t>
      </w:r>
      <w:r>
        <w:rPr>
          <w:shd w:fill="00FFFF" w:val="clear"/>
        </w:rPr>
        <w:t>)</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宋体"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“GI-ROS” </w:t>
      </w:r>
      <w:r>
        <w:rPr>
          <w:shd w:fill="FFFF00" w:val="clear"/>
        </w:rPr>
        <w:t xml:space="preserve">&lt;GI enriched instead&gt;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宋体" w:hint="eastAsia"/>
        </w:rPr>
        <w:t>4</w:t>
      </w:r>
      <w:r>
        <w:rPr/>
        <w:t xml:space="preserve">, “Lung Tobacco Smoking”). </w:t>
      </w:r>
      <w:r>
        <w:rPr>
          <w:shd w:fill="FFFF00" w:val="clear"/>
        </w:rPr>
        <w:t>&lt;</w:t>
      </w:r>
      <w:r>
        <w:rPr>
          <w:shd w:fill="FFFF00" w:val="clear"/>
        </w:rPr>
        <w:t xml:space="preserve">add cisplatin here&gt; </w:t>
      </w:r>
      <w:r>
        <w:rPr/>
        <w:t xml:space="preserve">In the </w:t>
      </w:r>
      <w:r>
        <w:rPr/>
        <w:t>gastrointestinal (</w:t>
      </w:r>
      <w:r>
        <w:rPr/>
        <w:t>GI</w:t>
      </w:r>
      <w:r>
        <w:rPr/>
        <w:t>)</w:t>
      </w:r>
      <w:r>
        <w:rPr/>
        <w:t xml:space="preserve">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w:t>
      </w:r>
      <w:r>
        <w:rPr/>
        <w:t>In addition</w:t>
      </w:r>
      <w:r>
        <w:rPr/>
        <w:t xml:space="preserve"> C_ID1 and InsDel1a </w:t>
      </w:r>
      <w:r>
        <w:rPr/>
        <w:t>had</w:t>
      </w:r>
      <w:r>
        <w:rPr/>
        <w:t xml:space="preserve"> stronger correlations with SBS1 and SBS18, supporting their association with mutagenesis driven by reactive oxygen species (Figure </w:t>
      </w:r>
      <w:r>
        <w:rPr>
          <w:rFonts w:eastAsia="宋体" w:hint="eastAsia"/>
        </w:rPr>
        <w:t>4</w:t>
      </w:r>
      <w:r>
        <w:rPr/>
        <w:t xml:space="preserve">). </w:t>
      </w:r>
    </w:p>
    <w:p>
      <w:pPr>
        <w:pStyle w:val="Heading2"/>
        <w:rPr/>
      </w:pPr>
      <w:r>
        <w:rPr>
          <w:rFonts w:hint="eastAsia"/>
        </w:rPr>
        <w:t>Topography of indel mutational signatures &lt;MO EDIT&gt;</w:t>
      </w:r>
    </w:p>
    <w:p>
      <w:pPr>
        <w:pStyle w:val="Normal"/>
        <w:ind w:hanging="0" w:start="0"/>
        <w:rPr>
          <w:rFonts w:eastAsia="宋体" w:hint="eastAsia"/>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ascii="Times New Roman" w:hAnsi="Times New Roman"/>
        </w:rPr>
        <w:t>Transcription strand asymmetries were shown in 17 out of 33 83-type signatures (Figure</w:t>
      </w:r>
      <w:r>
        <w:rPr>
          <w:rFonts w:eastAsia="Times New Roman" w:hint="eastAsia" w:ascii="Times New Roman" w:hAnsi="Times New Roman"/>
        </w:rPr>
        <w:t xml:space="preserve"> 5</w:t>
      </w:r>
      <w:r>
        <w:rPr>
          <w:rFonts w:eastAsia="Times New Roman" w:hint="eastAsia" w:ascii="Times New Roman" w:hAnsi="Times New Roman"/>
        </w:rPr>
        <w:t>A</w:t>
      </w:r>
      <w:r>
        <w:rPr>
          <w:rFonts w:eastAsia="Times New Roman" w:hint="eastAsia" w:ascii="Times New Roman" w:hAnsi="Times New Roman"/>
        </w:rPr>
        <w:t xml:space="preserve">, </w:t>
      </w:r>
      <w:r>
        <w:rPr>
          <w:rFonts w:eastAsia="Times New Roman" w:hint="eastAsia" w:ascii="Times New Roman" w:hAnsi="Times New Roman"/>
          <w:shd w:fill="00FFFF" w:val="clear"/>
        </w:rPr>
        <w:t xml:space="preserve">Figure </w:t>
      </w:r>
      <w:r>
        <w:rPr>
          <w:rFonts w:eastAsia="Times New Roman" w:hint="eastAsia" w:ascii="Times New Roman" w:hAnsi="Times New Roman"/>
          <w:shd w:fill="00FFFF" w:val="clear"/>
        </w:rPr>
        <w:t>S</w:t>
      </w:r>
      <w:r>
        <w:rPr>
          <w:rFonts w:eastAsia="Times New Roman" w:hint="eastAsia" w:ascii="Times New Roman" w:hAnsi="Times New Roman"/>
          <w:shd w:fill="00FFFF" w:val="clear"/>
        </w:rPr>
        <w:t>2</w:t>
      </w:r>
      <w:r>
        <w:rPr>
          <w:rFonts w:eastAsia="Times New Roman" w:hint="eastAsia" w:ascii="Times New Roman" w:hAnsi="Times New Roman"/>
          <w:shd w:fill="00FFFF" w:val="clear"/>
        </w:rPr>
        <w:t>C</w:t>
      </w:r>
      <w:r>
        <w:rPr>
          <w:rFonts w:eastAsia="Times New Roman" w:ascii="Times New Roman" w:hAnsi="Times New Roman"/>
          <w:shd w:fill="00FFFF" w:val="clear"/>
        </w:rPr>
        <w:t xml:space="preserve">, Table </w:t>
      </w:r>
      <w:r>
        <w:rPr>
          <w:rFonts w:eastAsia="Times New Roman" w:hint="eastAsia" w:ascii="Times New Roman" w:hAnsi="Times New Roman"/>
          <w:shd w:fill="00FFFF" w:val="clear"/>
        </w:rPr>
        <w:t>S</w:t>
      </w:r>
      <w:r>
        <w:rPr>
          <w:rFonts w:eastAsia="Times New Roman" w:hint="eastAsia" w:ascii="Times New Roman" w:hAnsi="Times New Roman"/>
          <w:shd w:fill="00FFFF" w:val="clear"/>
        </w:rPr>
        <w:t>12</w:t>
      </w:r>
      <w:r>
        <w:rPr>
          <w:rFonts w:eastAsia="Times New Roman" w:ascii="Times New Roman" w:hAnsi="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w:t>
      </w:r>
      <w:r>
        <w:rPr>
          <w:rFonts w:eastAsia="宋体" w:hint="eastAsia"/>
        </w:rPr>
        <w:t>[</w:t>
      </w:r>
      <w:r>
        <w:rPr/>
        <w:t>TOP1</w:t>
      </w:r>
      <w:r>
        <w:rPr>
          <w:rFonts w:eastAsia="宋体"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ascii="Times New Roman" w:hAnsi="Times New Roman"/>
        </w:rPr>
        <w:t xml:space="preserve">ure </w:t>
      </w:r>
      <w:r>
        <w:rPr>
          <w:rFonts w:eastAsia="Times New Roman" w:hint="eastAsia" w:ascii="Times New Roman" w:hAnsi="Times New Roman"/>
        </w:rPr>
        <w:t>5</w:t>
      </w:r>
      <w:r>
        <w:rPr>
          <w:rFonts w:eastAsia="Times New Roman" w:hint="eastAsia" w:ascii="Times New Roman" w:hAnsi="Times New Roman"/>
        </w:rPr>
        <w:t>B</w:t>
      </w:r>
      <w:r>
        <w:rPr>
          <w:rFonts w:eastAsia="Times New Roman" w:hint="eastAsia" w:ascii="Times New Roman" w:hAnsi="Times New Roman"/>
        </w:rPr>
        <w:t xml:space="preserve">, </w:t>
      </w:r>
      <w:r>
        <w:rPr>
          <w:rFonts w:eastAsia="Times New Roman" w:hint="eastAsia" w:ascii="Times New Roman" w:hAnsi="Times New Roman"/>
          <w:shd w:fill="00FFFF" w:val="clear"/>
        </w:rPr>
        <w:t xml:space="preserve">Figure </w:t>
      </w:r>
      <w:r>
        <w:rPr>
          <w:rFonts w:eastAsia="Times New Roman" w:hint="eastAsia" w:ascii="Times New Roman" w:hAnsi="Times New Roman"/>
          <w:shd w:fill="00FFFF" w:val="clear"/>
        </w:rPr>
        <w:t>S</w:t>
      </w:r>
      <w:r>
        <w:rPr>
          <w:rFonts w:eastAsia="Times New Roman" w:hint="eastAsia" w:ascii="Times New Roman" w:hAnsi="Times New Roman"/>
          <w:shd w:fill="00FFFF" w:val="clear"/>
        </w:rPr>
        <w:t>2</w:t>
      </w:r>
      <w:r>
        <w:rPr>
          <w:rFonts w:eastAsia="Times New Roman" w:hint="eastAsia" w:ascii="Times New Roman" w:hAnsi="Times New Roman"/>
          <w:shd w:fill="00FFFF" w:val="clear"/>
        </w:rPr>
        <w:t>B</w:t>
      </w:r>
      <w:r>
        <w:rPr>
          <w:rFonts w:eastAsia="Times New Roman" w:ascii="Times New Roman" w:hAnsi="Times New Roman"/>
          <w:shd w:fill="00FFFF" w:val="clear"/>
        </w:rPr>
        <w:t xml:space="preserve">, Table </w:t>
      </w:r>
      <w:r>
        <w:rPr>
          <w:rFonts w:eastAsia="Times New Roman" w:hint="eastAsia" w:ascii="Times New Roman" w:hAnsi="Times New Roman"/>
          <w:shd w:fill="00FFFF" w:val="clear"/>
        </w:rPr>
        <w:t>S</w:t>
      </w:r>
      <w:r>
        <w:rPr>
          <w:rFonts w:eastAsia="Times New Roman" w:hint="eastAsia" w:ascii="Times New Roman" w:hAnsi="Times New Roman"/>
          <w:shd w:fill="00FFFF" w:val="clear"/>
        </w:rPr>
        <w:t>12</w:t>
      </w:r>
      <w:r>
        <w:rPr>
          <w:rFonts w:eastAsia="Times New Roman" w:ascii="Times New Roman" w:hAnsi="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宋体" w:hint="eastAsia"/>
        </w:rPr>
        <w:t>3</w:t>
      </w:r>
      <w:r>
        <w:rPr/>
        <w:t xml:space="preserve"> </w:t>
      </w:r>
      <w:r>
        <w:rPr>
          <w:rFonts w:eastAsia="宋体"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eastAsia="宋体" w:hint="eastAsia"/>
        </w:rPr>
        <w:t>5</w:t>
      </w:r>
      <w:r>
        <w:rPr>
          <w:rFonts w:hint="eastAsia"/>
        </w:rPr>
        <w:t>C)</w:t>
      </w:r>
      <w:r>
        <w:rPr/>
        <w:t xml:space="preserve">. Among the 6 signatures, </w:t>
      </w:r>
      <w:r>
        <w:rPr>
          <w:rFonts w:eastAsia="宋体"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宋体" w:hint="eastAsia"/>
        </w:rPr>
        <w:t xml:space="preserve"> and</w:t>
      </w:r>
      <w:r>
        <w:rPr/>
        <w:t xml:space="preserve"> </w:t>
      </w:r>
      <w:r>
        <w:rPr>
          <w:rFonts w:eastAsia="宋体" w:hint="eastAsia"/>
        </w:rPr>
        <w:t xml:space="preserve">ID_F </w:t>
      </w:r>
      <w:r>
        <w:rPr/>
        <w:t>(TOP1-mediated</w:t>
      </w:r>
      <w:r>
        <w:rPr>
          <w:rFonts w:eastAsia="Times New Roman" w:ascii="Times New Roman" w:hAnsi="Times New Roman"/>
        </w:rPr>
        <w:t xml:space="preserve"> mutagenesis). Another </w:t>
      </w:r>
      <w:r>
        <w:rPr>
          <w:rFonts w:eastAsia="Times New Roman" w:hint="eastAsia" w:ascii="Times New Roman" w:hAnsi="Times New Roman"/>
        </w:rPr>
        <w:t>3</w:t>
      </w:r>
      <w:r>
        <w:rPr>
          <w:rFonts w:eastAsia="Times New Roman" w:ascii="Times New Roman" w:hAnsi="Times New Roman"/>
        </w:rPr>
        <w:t xml:space="preserve"> signatures with mutation enriched in genic regions were of unknown etiology (C_ID4, </w:t>
      </w:r>
      <w:r>
        <w:rPr>
          <w:rFonts w:eastAsia="Times New Roman" w:hint="eastAsia" w:ascii="Times New Roman" w:hAnsi="Times New Roman"/>
        </w:rPr>
        <w:t>ID_</w:t>
      </w:r>
      <w:r>
        <w:rPr>
          <w:rFonts w:eastAsia="Times New Roman" w:ascii="Times New Roman" w:hAnsi="Times New Roman"/>
        </w:rPr>
        <w:t>E</w:t>
      </w:r>
      <w:r>
        <w:rPr>
          <w:rFonts w:eastAsia="Times New Roman" w:hint="eastAsia" w:ascii="Times New Roman" w:hAnsi="Times New Roman"/>
        </w:rPr>
        <w:t xml:space="preserve"> and ID_L</w:t>
      </w:r>
      <w:r>
        <w:rPr>
          <w:rFonts w:eastAsia="Times New Roman" w:ascii="Times New Roman" w:hAnsi="Times New Roman"/>
        </w:rPr>
        <w:t>).</w:t>
      </w:r>
    </w:p>
    <w:p>
      <w:pPr>
        <w:pStyle w:val="Normal"/>
        <w:rPr/>
      </w:pPr>
      <w:r>
        <w:rPr>
          <w:rFonts w:eastAsia="Times New Roman" w:ascii="Times New Roman" w:hAnsi="Times New Roman"/>
          <w:shd w:fill="auto" w:val="clear"/>
        </w:rPr>
        <w:t>The effect of DNA replication timing was also observed in man</w:t>
      </w:r>
      <w:r>
        <w:rPr>
          <w:shd w:fill="auto" w:val="clear"/>
        </w:rPr>
        <w:t>y 83-type signatures</w:t>
      </w:r>
      <w:r>
        <w:rPr>
          <w:rFonts w:hint="eastAsia"/>
          <w:shd w:fill="auto" w:val="clear"/>
        </w:rPr>
        <w:t xml:space="preserve"> </w:t>
      </w:r>
      <w:r>
        <w:rPr>
          <w:rFonts w:eastAsia="Times New Roman" w:hint="eastAsia" w:ascii="Times New Roman" w:hAnsi="Times New Roman"/>
        </w:rPr>
        <w:t xml:space="preserve">(Figure </w:t>
      </w:r>
      <w:r>
        <w:rPr>
          <w:rFonts w:eastAsia="Times New Roman" w:hint="eastAsia" w:ascii="Times New Roman" w:hAnsi="Times New Roman"/>
        </w:rPr>
        <w:t>5</w:t>
      </w:r>
      <w:r>
        <w:rPr>
          <w:rFonts w:eastAsia="Times New Roman" w:hint="eastAsia" w:ascii="Times New Roman" w:hAnsi="Times New Roman"/>
        </w:rPr>
        <w:t>D</w:t>
      </w:r>
      <w:r>
        <w:rPr>
          <w:rFonts w:eastAsia="Times New Roman" w:cs="宋体" w:hint="eastAsia" w:ascii="Times New Roman" w:hAnsi="Times New Roman"/>
        </w:rPr>
        <w:t>,</w:t>
      </w:r>
      <w:r>
        <w:rPr>
          <w:rFonts w:eastAsia="Times New Roman" w:hint="eastAsia" w:ascii="Times New Roman" w:hAnsi="Times New Roman"/>
        </w:rPr>
        <w:t xml:space="preserve"> </w:t>
      </w:r>
      <w:r>
        <w:rPr>
          <w:rFonts w:eastAsia="宋体" w:hint="eastAsia"/>
          <w:shd w:fill="00FFFF" w:val="clear"/>
        </w:rPr>
        <w:t>Figure</w:t>
      </w:r>
      <w:r>
        <w:rPr>
          <w:rFonts w:eastAsia="Times New Roman" w:hint="eastAsia"/>
          <w:shd w:fill="00FFFF" w:val="clear"/>
        </w:rPr>
        <w:t xml:space="preserv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1"/>
      <w:commentRangeStart w:id="2"/>
      <w:r>
        <w:rPr>
          <w:shd w:fill="00FFFF" w:val="clear"/>
        </w:rPr>
        <w:t>Figure S</w:t>
      </w:r>
      <w:r>
        <w:rPr>
          <w:rFonts w:eastAsia="宋体" w:hint="eastAsia"/>
          <w:shd w:fill="00FFFF" w:val="clear"/>
        </w:rPr>
        <w:t>4</w:t>
      </w:r>
      <w:r>
        <w:rPr>
          <w:rFonts w:eastAsia="宋体" w:hint="eastAsia"/>
          <w:shd w:fill="00FFFF" w:val="clear"/>
        </w:rPr>
      </w:r>
      <w:commentRangeEnd w:id="2"/>
      <w:r>
        <w:commentReference w:id="2"/>
      </w:r>
      <w:r>
        <w:rPr>
          <w:rFonts w:eastAsia="宋体" w:hint="eastAsia"/>
          <w:shd w:fill="00FFFF" w:val="clear"/>
        </w:rPr>
      </w:r>
      <w:commentRangeEnd w:id="1"/>
      <w:r>
        <w:commentReference w:id="1"/>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3"/>
      <w:commentRangeStart w:id="4"/>
      <w:commentRangeStart w:id="5"/>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r>
      <w:commentRangeEnd w:id="3"/>
      <w:r>
        <w:commentReference w:id="3"/>
      </w:r>
      <w:r>
        <w:rPr/>
        <w:commentReference w:id="6"/>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6">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rFonts w:eastAsia="宋体" w:eastAsiaTheme="minorEastAsia"/>
          <w:b/>
          <w:bCs/>
          <w:sz w:val="18"/>
          <w:szCs w:val="18"/>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宋体"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hint="eastAsia" w:eastAsiaTheme="minorEastAsia"/>
          <w:b/>
          <w:bCs/>
          <w:sz w:val="18"/>
          <w:szCs w:val="18"/>
        </w:rPr>
        <w:t xml:space="preserve">indel signatures with cancer types and </w:t>
      </w:r>
      <w:r>
        <w:rPr>
          <w:rFonts w:eastAsia="宋体" w:hint="eastAsia" w:eastAsiaTheme="minorEastAsia"/>
          <w:b/>
          <w:bCs/>
          <w:sz w:val="18"/>
          <w:szCs w:val="18"/>
        </w:rPr>
        <w:t>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rFonts w:eastAsia="宋体" w:hint="eastAsia" w:eastAsiaTheme="minorEastAsia"/>
          <w:b/>
          <w:bCs/>
          <w:sz w:val="18"/>
          <w:szCs w:val="18"/>
        </w:rPr>
        <w:t>A</w:t>
      </w:r>
      <w:r>
        <w:rPr>
          <w:rFonts w:eastAsia="宋体" w:hint="eastAsia" w:eastAsiaTheme="minorEastAsia"/>
          <w:b/>
          <w:bCs/>
          <w:sz w:val="18"/>
          <w:szCs w:val="18"/>
        </w:rPr>
        <w:t xml:space="preserve">) </w:t>
      </w:r>
      <w:r>
        <w:rPr>
          <w:rFonts w:eastAsia="宋体" w:hint="eastAsia" w:eastAsiaTheme="minorEastAsia"/>
          <w:b w:val="false"/>
          <w:bCs w:val="false"/>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b w:val="false"/>
          <w:bCs w:val="false"/>
          <w:sz w:val="18"/>
          <w:szCs w:val="18"/>
        </w:rPr>
        <w:t>’</w:t>
      </w:r>
      <w:r>
        <w:rPr>
          <w:rFonts w:eastAsia="宋体" w:hint="eastAsia" w:eastAsiaTheme="minorEastAsia"/>
          <w:b w:val="false"/>
          <w:bCs w:val="false"/>
          <w:sz w:val="18"/>
          <w:szCs w:val="18"/>
        </w:rPr>
        <w:t>s exact test of number of tumors with the signature versus the number without in a given tumor type versus all other tumors</w:t>
      </w:r>
      <w:r>
        <w:rPr>
          <w:rFonts w:eastAsia="宋体" w:hint="eastAsia" w:eastAsiaTheme="minorEastAsia"/>
          <w:b w:val="false"/>
          <w:bCs w:val="false"/>
          <w:sz w:val="18"/>
          <w:szCs w:val="18"/>
        </w:rPr>
        <w:t>.</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rFonts w:eastAsia="宋体" w:hint="eastAsia" w:eastAsiaTheme="minorEastAsia"/>
          <w:b/>
          <w:bCs/>
          <w:sz w:val="18"/>
          <w:szCs w:val="18"/>
        </w:rPr>
        <w:t>B</w:t>
      </w:r>
      <w:r>
        <w:rPr>
          <w:rFonts w:eastAsia="宋体" w:hint="eastAsia" w:eastAsiaTheme="minorEastAsia"/>
          <w:b/>
          <w:bCs/>
          <w:sz w:val="18"/>
          <w:szCs w:val="18"/>
        </w:rPr>
        <w:t>)</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w:t>
      </w:r>
      <w:r>
        <w:rPr>
          <w:rFonts w:eastAsia="宋体" w:eastAsiaTheme="minorEastAsia"/>
          <w:sz w:val="18"/>
          <w:szCs w:val="18"/>
        </w:rPr>
        <w:t xml:space="preserve">based on signature proportions </w:t>
      </w:r>
      <w:r>
        <w:rPr>
          <w:rFonts w:eastAsia="宋体" w:eastAsiaTheme="minorEastAsia"/>
          <w:sz w:val="18"/>
          <w:szCs w:val="18"/>
        </w:rPr>
        <w:t xml:space="preserve">identified </w:t>
      </w:r>
      <w:r>
        <w:rPr>
          <w:rFonts w:eastAsia="宋体" w:eastAsiaTheme="minorEastAsia"/>
          <w:sz w:val="18"/>
          <w:szCs w:val="18"/>
        </w:rPr>
        <w:t>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fals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2" w:author="Mo Liu" w:date="2026-06-29T16:38:00Z" w:initials="ML">
    <w:p w14:paraId="01000000">
      <w:pPr>
        <w:overflowPunct w:val="false"/>
        <w:spacing w:lineRule="auto" w:line="240" w:before="0" w:after="0"/>
        <w:rPr/>
      </w:pPr>
      <w:r>
        <w:annotationRef/>
      </w:r>
      <w:r>
        <w:rPr>
          <w:rFonts w:eastAsia="宋体" w:cs="Noto Sans Arabic UI" w:ascii="Calibri" w:hAnsi="Calibri"/>
          <w:sz w:val="22"/>
          <w:szCs w:val="22"/>
        </w:rPr>
        <w:t>I see the Figure S4 was renamed to “do-not-use Figure S4”. But I forgot why… Do we still need this?</w:t>
      </w:r>
    </w:p>
  </w:comment>
  <w:comment w:id="1" w:author="Mo Liu" w:date="2026-06-29T17:03:00Z" w:initials="ML">
    <w:p w14:paraId="02000000">
      <w:pPr>
        <w:overflowPunct w:val="false"/>
        <w:spacing w:lineRule="auto" w:line="240" w:before="0" w:after="0"/>
        <w:rPr/>
      </w:pPr>
      <w:r>
        <w:annotationRef/>
      </w:r>
      <w:r>
        <w:rPr>
          <w:rFonts w:eastAsia="宋体" w:cs="Noto Sans Arabic UI" w:ascii="Calibri" w:hAnsi="Calibri"/>
          <w:sz w:val="22"/>
          <w:szCs w:val="22"/>
        </w:rPr>
        <w:t>I think this is because we want to remove the topography analysis of 89-type signatures, is this correct?</w:t>
      </w:r>
    </w:p>
  </w:comment>
  <w:comment w:id="5" w:author="Mo Liu" w:date="2026-05-25T13:45:00Z" w:initials="ML">
    <w:p w14:paraId="03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4" w:author="Steve Rozen, Ph.D." w:date="2026-05-28T17:52:00Z" w:initials="SR">
    <w:p w14:paraId="04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3" w:author="Mo Liu" w:date="2026-05-29T16:03:00Z" w:initials="ML">
    <w:p w14:paraId="05000000">
      <w:pPr>
        <w:overflowPunct w:val="false"/>
        <w:spacing w:lineRule="auto" w:line="240" w:before="0" w:after="0"/>
        <w:rPr/>
      </w:pPr>
      <w:r>
        <w:annotationRef/>
      </w:r>
      <w:r>
        <w:rPr>
          <w:rFonts w:eastAsia="宋体" w:cs="Noto Sans Arabic UI" w:ascii="Calibri" w:hAnsi="Calibri"/>
          <w:sz w:val="22"/>
          <w:szCs w:val="22"/>
        </w:rPr>
        <w:t>I update via email.</w:t>
      </w:r>
    </w:p>
  </w:comment>
  <w:comment w:id="6" w:author="Unknown Author" w:date="2026-07-02T20:23:31Z" w:initials="">
    <w:p>
      <w:pPr>
        <w:overflowPunct w:val="false"/>
        <w:spacing w:lineRule="auto" w:line="240" w:before="0" w:after="0"/>
        <w:rPr/>
      </w:pPr>
      <w:r>
        <w:annotationRef/>
      </w:r>
      <w:r>
        <w:rPr>
          <w:rFonts w:eastAsia="宋体" w:cs="Noto Sans Arabic UI" w:ascii="Calibri" w:hAnsi="Calibri"/>
          <w:i/>
          <w:sz w:val="16"/>
          <w:szCs w:val="22"/>
        </w:rPr>
        <w:t>Reply to Mo Liu (05/29/2026, 16:03): "..."</w:t>
      </w:r>
    </w:p>
    <w:p>
      <w:pPr>
        <w:overflowPunct w:val="false"/>
        <w:spacing w:lineRule="auto" w:line="240" w:before="741" w:after="616"/>
        <w:rPr/>
      </w:pPr>
      <w:r>
        <w:rPr>
          <w:rFonts w:eastAsia="宋体" w:cs="Noto Sans Arabic UI" w:ascii="Calibri" w:hAnsi="Calibri"/>
          <w:sz w:val="20"/>
          <w:szCs w:val="20"/>
        </w:rPr>
        <w:t>Hi Steve,</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eastAsia="宋体" w:cs="Noto Sans Arabic UI" w:ascii="Calibri" w:hAnsi="Calibri"/>
          <w:sz w:val="20"/>
          <w:szCs w:val="20"/>
        </w:rPr>
        <w:t>I’ve summarized the information in the attached file.</w:t>
      </w:r>
    </w:p>
    <w:p>
      <w:pPr>
        <w:overflowPunct w:val="false"/>
        <w:spacing w:lineRule="auto" w:line="240" w:before="741" w:after="616"/>
        <w:rPr/>
      </w:pPr>
      <w:r>
        <w:rPr>
          <w:rFonts w:eastAsia="宋体" w:cs="Noto Sans Arabic UI" w:ascii="Calibri" w:hAnsi="Calibri"/>
          <w:sz w:val="20"/>
          <w:szCs w:val="20"/>
        </w:rPr>
        <w:t>Please let me know if you need more information.</w:t>
      </w:r>
    </w:p>
    <w:p>
      <w:pPr>
        <w:overflowPunct w:val="false"/>
        <w:spacing w:lineRule="auto" w:line="240" w:before="741" w:after="616"/>
        <w:rPr/>
      </w:pPr>
      <w:r>
        <w:rPr>
          <w:rFonts w:eastAsia="宋体" w:cs="Noto Sans Arabic UI" w:ascii="Calibri" w:hAnsi="Calibri"/>
          <w:sz w:val="20"/>
          <w:szCs w:val="20"/>
        </w:rPr>
        <w:t>Thanks,Mo</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eastAsia="宋体" w:cs="Noto Sans Arabic UI" w:ascii="Calibri" w:hAnsi="Calibri"/>
          <w:sz w:val="20"/>
          <w:szCs w:val="20"/>
        </w:rPr>
        <w:t>See COSMICv3.6 ID topographical annotation.xlsx</w:t>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pPr>
        <w:overflowPunct w:val="false"/>
        <w:spacing w:lineRule="auto" w:line="240" w:before="741" w:after="616"/>
        <w:rPr/>
      </w:pPr>
      <w:r>
        <w:rPr>
          <w:rFonts w:cs="Noto Sans Arabic UI" w:eastAsia="宋体" w:ascii="Calibri" w:hAnsi="Calibri"/>
          <w:sz w:val="22"/>
          <w:szCs w:val="22"/>
        </w:rPr>
      </w:r>
    </w:p>
    <w:p w14:paraId="06000000">
      <w:pPr>
        <w:overflowPunct w:val="false"/>
        <w:spacing w:lineRule="auto" w:line="240" w:before="741" w:after="616"/>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Ex w15:paraId="06000000" w15:paraIdParent="05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keepNext w:val="false"/>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333</TotalTime>
  <Application>LibreOffice/26.2.2.2$Linux_X86_64 LibreOffice_project/620$Build-2</Application>
  <AppVersion>15.0000</AppVersion>
  <Pages>40</Pages>
  <Words>9499</Words>
  <Characters>56879</Characters>
  <CharactersWithSpaces>66032</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2026-06-29T08:40:00Z</dcterms:created>
  <dc:creator>Mo Liu</dc:creator>
  <dc:description/>
  <dc:language>en-US</dc:language>
  <cp:lastModifiedBy/>
  <cp:lastPrinted>2025-06-06T09:23:00Z</cp:lastPrinted>
  <dcterms:modified xsi:type="dcterms:W3CDTF">2026-07-09T20:29:59Z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