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rFonts w:hint="eastAsia"/>
          <w:shd w:fill="auto" w:val="clear"/>
        </w:rPr>
        <w:t>,</w:t>
      </w:r>
      <w:r>
        <w:rPr>
          <w:shd w:fill="auto" w:val="clear"/>
        </w:rPr>
        <w:t xml:space="preserve"> Xue Ming Wu1, </w:t>
      </w:r>
      <w:r>
        <w:rPr/>
        <w:t>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left="0"/>
        <w:rPr>
          <w:rFonts w:hint="eastAsia"/>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a new classification that recognizes 89 types of indel and that often enables finer distinctions between signatures than the more widely used classification into 83 types of indel.  </w:t>
      </w:r>
      <w:r>
        <w:rPr>
          <w:shd w:fill="auto" w:val="clear"/>
        </w:rPr>
        <w:t>Here, we analyzed somatic indels in 6,975 whole genomes from 32 cancer types to create comprehensive collections of signatures in both classification schemes. We extracted signatures using methods based on hierarchical Dirichlet processes and on non-negative matrix factorization with consistent results across the two methods. We identified a comprehensive set of 45 &lt;47? now&gt; mutational signatures in the new 89-type classification, including 28 &lt;Now 30?&gt; previously unreported signatures. Algorithmic translation between signatures in the 83-type and 89-type classification schemes is impossible. However, we leveraged tumor mutational spectra dominated by individual signatures to exhaustively elucidate the correspondences between signatures in the 89-type and 83-types classification schemes and an additional classification scheme that recognizes 467 types of indel.  W</w:t>
      </w:r>
      <w:r>
        <w:rPr>
          <w:rFonts w:hint="eastAsia"/>
          <w:shd w:fill="auto" w:val="clear"/>
        </w:rPr>
        <w:t xml:space="preserve">e also used </w:t>
      </w:r>
      <w:r>
        <w:rPr>
          <w:shd w:fill="auto" w:val="clear"/>
        </w:rPr>
        <w:t>cell-line experiments to</w:t>
      </w:r>
      <w:r>
        <w:rPr>
          <w:rFonts w:hint="eastAsia"/>
          <w:shd w:fill="auto" w:val="clear"/>
        </w:rPr>
        <w:t xml:space="preserve"> show that </w:t>
      </w:r>
      <w:r>
        <w:rPr>
          <w:shd w:fill="auto" w:val="clear"/>
        </w:rPr>
        <w:t>one</w:t>
      </w:r>
      <w:r>
        <w:rPr>
          <w:rFonts w:hint="eastAsia"/>
          <w:shd w:fill="auto" w:val="clear"/>
        </w:rPr>
        <w:t xml:space="preserve"> </w:t>
      </w:r>
      <w:r>
        <w:rPr>
          <w:shd w:fill="auto" w:val="clear"/>
        </w:rPr>
        <w:t>novel signature</w:t>
      </w:r>
      <w:r>
        <w:rPr>
          <w:rFonts w:hint="eastAsia"/>
          <w:shd w:fill="auto" w:val="clear"/>
        </w:rPr>
        <w:t xml:space="preserve"> </w:t>
      </w:r>
      <w:r>
        <w:rPr>
          <w:shd w:fill="auto" w:val="clear"/>
        </w:rPr>
        <w:t xml:space="preserve">is caused by transcription-associated mutagenesis by topoisomerase 1 at sites of genomically incorporated ribonucleotides. We provide a web site for exploring these signatures, the relationships between signatures in the two classifications, and signature attributions in specific tumors, and signatures’ relationships to genomic topography. </w:t>
      </w:r>
    </w:p>
    <w:p>
      <w:pPr>
        <w:pStyle w:val="normalfirst"/>
        <w:rPr>
          <w:highlight w:val="none"/>
          <w:shd w:fill="auto" w:val="clear"/>
        </w:rPr>
      </w:pPr>
      <w:r>
        <w:rPr>
          <w:shd w:fill="auto" w:val="clear"/>
        </w:rPr>
        <w:t>(Currently 235 words)</w:t>
      </w:r>
    </w:p>
    <w:p>
      <w:pPr>
        <w:pStyle w:val="normalfirst"/>
        <w:rPr>
          <w:rFonts w:hint="eastAsia"/>
        </w:rPr>
      </w:pPr>
      <w:r>
        <w:rPr>
          <w:rFonts w:hint="eastAsia"/>
        </w:rPr>
      </w:r>
    </w:p>
    <w:p>
      <w:pPr>
        <w:pStyle w:val="normalfirst"/>
        <w:rPr>
          <w:rFonts w:hint="eastAsia"/>
        </w:rPr>
      </w:pPr>
      <w:r>
        <w:rPr>
          <w:rFonts w:hint="eastAsia"/>
        </w:rPr>
      </w:r>
    </w:p>
    <w:p>
      <w:pPr>
        <w:pStyle w:val="normalfirst"/>
        <w:rPr>
          <w:rFonts w:hint="eastAsia"/>
        </w:rPr>
      </w:pPr>
      <w:r>
        <w:rPr>
          <w:rFonts w:hint="eastAsia"/>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highlight w:val="none"/>
          <w:shd w:fill="FFFF00" w:val="clear"/>
        </w:rPr>
      </w:pPr>
      <w:r>
        <w:rPr>
          <w:shd w:fill="FFFF00" w:val="clear"/>
        </w:rPr>
        <w:t>Elife? Cell / cell genomics resource?</w:t>
      </w:r>
    </w:p>
    <w:p>
      <w:pPr>
        <w:pStyle w:val="normalfirst"/>
        <w:rPr>
          <w:highlight w:val="none"/>
          <w:shd w:fill="FFFF00" w:val="clear"/>
        </w:rPr>
      </w:pPr>
      <w:r>
        <w:rPr>
          <w:shd w:fill="FFFF00" w:val="clear"/>
        </w:rPr>
      </w:r>
    </w:p>
    <w:p>
      <w:pPr>
        <w:pStyle w:val="normalfirst"/>
        <w:rPr>
          <w:highlight w:val="none"/>
          <w:shd w:fill="FFFF00" w:val="clear"/>
        </w:rPr>
      </w:pPr>
      <w:r>
        <w:rPr>
          <w:shd w:fill="FFFF00" w:val="clear"/>
        </w:rPr>
        <w:t>https://share.google/aimode/QKRo26NUhoR9S8WBd</w:t>
      </w:r>
    </w:p>
    <w:p>
      <w:pPr>
        <w:pStyle w:val="Normal"/>
        <w:ind w:hanging="0" w:left="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lef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83-type scheme 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is used on the COSMIC web site (https://cancer.sanger.ac.uk/signatures/id/, </w:t>
      </w:r>
      <w:hyperlink r:id="rId4">
        <w:r>
          <w:rPr>
            <w:rStyle w:val="Hyperlink"/>
          </w:rPr>
          <w:t>https://cancer.sanger.ac.uk/signatures/documents/4/PCAWG7_indel_classification_2021_08_31.xlsx</w:t>
        </w:r>
      </w:hyperlink>
      <w:r>
        <w:rPr/>
        <w:t xml:space="preserve">, Figure 1A). The new 89-type classification scheme recognizes 89 indel types and in many cases, but not all, provides better discrimination between mutational patterns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the two classification schemes is impossible, even using a more fine-grained classification scheme of 476 indel types as an intermediary </w:t>
      </w:r>
      <w:r>
        <w:rPr>
          <w:shd w:fill="FFFF00" w:val="clear"/>
        </w:rPr>
        <w:t>&lt;ref koh et al.&gt; (Table S XXXX)</w:t>
      </w:r>
    </w:p>
    <w:p>
      <w:pPr>
        <w:pStyle w:val="Normal"/>
        <w:rPr/>
      </w:pPr>
      <w:r>
        <w:rPr/>
        <w:t xml:space="preserve">The </w:t>
      </w:r>
      <w:r>
        <w:rPr>
          <w:rFonts w:hint="eastAsia"/>
        </w:rPr>
        <w:t>83-ty</w:t>
      </w:r>
      <w:r>
        <w:rPr/>
        <w:t>pe classification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Furthermore, the 89-type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83-type classification. </w:t>
      </w:r>
    </w:p>
    <w:p>
      <w:pPr>
        <w:pStyle w:val="Normal"/>
        <w:rPr/>
      </w:pPr>
      <w:r>
        <w:rPr/>
        <w:t>There advantages to each of the two indel classification schemes. In the 83-type system, the AA signature shows that the most common deletion of a single T occurs as V1TV2 &gt; V1V2, where V indicates any base other than T, and V1 need not be the same as V2. This is a distinction that the 89-type AA signature does not capture. However, the 89-type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the 8</w:t>
      </w:r>
      <w:r>
        <w:rPr>
          <w:rFonts w:hint="eastAsia"/>
        </w:rPr>
        <w:t>3-ty</w:t>
      </w:r>
      <w:r>
        <w:rPr/>
        <w:t>pe and 8</w:t>
      </w:r>
      <w:r>
        <w:rPr>
          <w:rFonts w:hint="eastAsia"/>
        </w:rPr>
        <w:t>9-type</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the 8</w:t>
      </w:r>
      <w:r>
        <w:rPr>
          <w:rFonts w:hint="eastAsia"/>
          <w:shd w:fill="FFFF00" w:val="clear"/>
        </w:rPr>
        <w:t>3-ty</w:t>
      </w:r>
      <w:r>
        <w:rPr>
          <w:shd w:fill="FFFF00" w:val="clear"/>
        </w:rPr>
        <w:t>pe and 8</w:t>
      </w:r>
      <w:r>
        <w:rPr>
          <w:rFonts w:hint="eastAsia"/>
          <w:shd w:fill="FFFF00" w:val="clear"/>
        </w:rPr>
        <w:t>9-type</w:t>
      </w:r>
      <w:r>
        <w:rPr>
          <w:shd w:fill="FFFF00" w:val="clear"/>
        </w:rPr>
        <w:t xml:space="preserve"> mutational signatures, their contributions to key cancer genes, associations to SBSs and to sex within a given cancer type, as well as their replication timing, replication strand bias, and genic versus intergenic distributions, and provide a web site to facilitate exploration of these signatures</w:t>
      </w:r>
    </w:p>
    <w:p>
      <w:pPr>
        <w:pStyle w:val="Heading1"/>
        <w:ind w:hanging="0" w:left="0"/>
        <w:rPr/>
      </w:pPr>
      <w:r>
        <w:rPr/>
        <w:t>Results</w:t>
      </w:r>
    </w:p>
    <w:p>
      <w:pPr>
        <w:pStyle w:val="Heading2"/>
        <w:ind w:hanging="0" w:left="0"/>
        <w:rPr/>
      </w:pPr>
      <w:r>
        <w:rPr/>
        <w:t>Repertoire of indel signatures based on de novo signature discovery</w:t>
      </w:r>
    </w:p>
    <w:p>
      <w:pPr>
        <w:pStyle w:val="normalfirst"/>
        <w:rPr/>
      </w:pPr>
      <w:r>
        <w:rPr>
          <w:shd w:fill="auto" w:val="clear"/>
        </w:rPr>
        <w:t>We extracted signatures from somatic indels spectra from a total of 6,975 cancer genomes encompassing 32 cancer types  (spectra in Supplementary Tables S</w:t>
      </w:r>
      <w:r>
        <w:rPr>
          <w:rFonts w:hint="eastAsia"/>
          <w:shd w:fill="auto" w:val="clear"/>
        </w:rPr>
        <w:t>8 and S9 – need 83, 89, and 476 spectra)</w:t>
      </w:r>
      <w:r>
        <w:rPr>
          <w:shd w:fill="auto" w:val="clear"/>
        </w:rPr>
        <w:t xml:space="preserve">.  </w:t>
      </w:r>
    </w:p>
    <w:p>
      <w:pPr>
        <w:pStyle w:val="normalfirst"/>
        <w:rPr>
          <w:highlight w:val="none"/>
          <w:shd w:fill="FFFF00" w:val="clear"/>
        </w:rPr>
      </w:pPr>
      <w:r>
        <w:rPr>
          <w:shd w:fill="FFFF00" w:val="clear"/>
        </w:rPr>
        <w:t xml:space="preserve">We extracted indel signatures in the 83, 89, 476-type classification schemes using mSigHdp, a method based on hierarchical Dirichlet processes </w:t>
      </w:r>
      <w:r>
        <w:rPr>
          <w:shd w:fill="auto" w:val="clear"/>
        </w:rPr>
        <w:t xml:space="preserve">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FFFF00" w:val="clear"/>
        </w:rPr>
        <w:t xml:space="preserve">, and </w:t>
      </w:r>
      <w:r>
        <w:rPr/>
        <w:t>SigProfilerExtractor (SigPro), a method based on non-negative matrix factorization</w:t>
      </w:r>
      <w:r>
        <w:rPr>
          <w:shd w:fill="auto" w:val="clear"/>
        </w:rPr>
        <w:t xml:space="preserve">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t>(Islam et al. 2022)</w:t>
      </w:r>
      <w:r>
        <w:rPr>
          <w:shd w:fill="auto" w:val="clear"/>
        </w:rPr>
      </w:r>
      <w:r>
        <w:rPr>
          <w:shd w:fill="auto" w:val="clear"/>
        </w:rPr>
        <w:fldChar w:fldCharType="end"/>
      </w:r>
      <w:r>
        <w:rPr>
          <w:shd w:fill="auto" w:val="clear"/>
        </w:rPr>
        <w:t>.</w:t>
      </w:r>
    </w:p>
    <w:p>
      <w:pPr>
        <w:pStyle w:val="normalfirst"/>
        <w:rPr>
          <w:highlight w:val="none"/>
          <w:shd w:fill="FFFF00" w:val="clear"/>
        </w:rPr>
      </w:pPr>
      <w:r>
        <w:rPr/>
        <w:t xml:space="preserve">The extracted signatures were broadly consistent between the two methods </w:t>
      </w:r>
      <w:r>
        <w:rPr>
          <w:shd w:fill="FFFF00" w:val="clear"/>
        </w:rPr>
        <w:t xml:space="preserve">see table 1, our web page, and details in table S12 and &lt;elsewhere&gt;, including our web page), </w:t>
      </w:r>
    </w:p>
    <w:p>
      <w:pPr>
        <w:pStyle w:val="normalfirst"/>
        <w:rPr>
          <w:shd w:fill="auto" w:val="clear"/>
        </w:rPr>
      </w:pPr>
      <w:r>
        <w:rPr>
          <w:shd w:fill="auto" w:val="clear"/>
        </w:rPr>
        <w:tab/>
        <w:t xml:space="preserve">We identified a comprehensive set of 45 &lt;now 47?&gt; mutational signatures in the 89-type classification scheme, of which XX were previously unreported, and </w:t>
      </w:r>
      <w:r>
        <w:rPr/>
        <w:t xml:space="preserve">33 </w:t>
      </w:r>
      <w:r>
        <w:rPr>
          <w:shd w:fill="auto" w:val="clear"/>
        </w:rPr>
        <w:t>signatures in the 83-type classification of which XXX were previously unreported &lt;cite musical and cosmic&gt;</w:t>
      </w:r>
      <w:r>
        <w:rPr>
          <w:rFonts w:hint="eastAsia"/>
          <w:shd w:fill="auto" w:val="clear"/>
        </w:rPr>
        <w:t xml:space="preserve"> (Figures 2, 3, and Table 1)</w:t>
      </w:r>
      <w:r>
        <w:rPr>
          <w:shd w:fill="auto" w:val="clear"/>
        </w:rPr>
        <w:t>.  XXX in 476-type classification.</w:t>
      </w:r>
    </w:p>
    <w:p>
      <w:pPr>
        <w:pStyle w:val="normalfirst"/>
        <w:rPr>
          <w:shd w:fill="auto" w:val="clear"/>
        </w:rPr>
      </w:pPr>
      <w:r>
        <w:rPr>
          <w:shd w:fill="auto" w:val="clear"/>
        </w:rPr>
        <w:tab/>
        <w:t>We compared the extracted 83-type signatures to XXXXXX COSMIC and Jin et al.  re-identified signatures similar to 18 of 83-type signatures in COSMIC v3.5 (</w:t>
      </w:r>
      <w:r>
        <w:rPr>
          <w:rFonts w:hint="eastAsia"/>
          <w:shd w:fill="auto" w:val="clear"/>
        </w:rPr>
        <w:t>C_ID1 to C_ID23 in Figure2)</w:t>
      </w:r>
      <w:r>
        <w:rPr>
          <w:shd w:fill="auto" w:val="clear"/>
        </w:rPr>
        <w:t>. &lt;Jin et al signatures&gt; The signatures that were not detected were (I) ID15 and ID16, which were seen in 2 and 1 tumors, respectively in a non-PCAWG data set &lt;ref Alexandrov 2020&gt; ;  ID20, ID21, ID22 reported in a preprint without details of where these were detected and ID24, ID25 &lt;</w:t>
      </w:r>
      <w:hyperlink r:id="rId5">
        <w:r>
          <w:rPr>
            <w:rStyle w:val="Hyperlink"/>
            <w:shd w:fill="auto" w:val="clear"/>
          </w:rPr>
          <w:t>https://www.nature.com/articles/s41586-025-09025-8</w:t>
        </w:r>
      </w:hyperlink>
      <w:r>
        <w:rPr>
          <w:shd w:fill="auto" w:val="clear"/>
        </w:rPr>
        <w:t xml:space="preserve">&gt;, </w:t>
      </w:r>
      <w:hyperlink r:id="rId6">
        <w:r>
          <w:rPr>
            <w:rStyle w:val="Hyperlink"/>
            <w:shd w:fill="auto" w:val="clear"/>
          </w:rPr>
          <w:t>https://www.medrxiv.org/content/10.1101/2023.06.07.23290970v1</w:t>
        </w:r>
      </w:hyperlink>
      <w:r>
        <w:rPr>
          <w:shd w:fill="auto" w:val="clear"/>
        </w:rPr>
        <w:t>&gt; https://www.biorxiv.org/content/10.1101/2025.03.14.643063v1 The ability of mSigHdp &lt;and Sigprofiler?&gt; to recover all COSMIC signatures present in PCAWG highlights its robustness for mutational signature analysis.</w:t>
      </w:r>
    </w:p>
    <w:p>
      <w:pPr>
        <w:pStyle w:val="normalfirst"/>
        <w:rPr>
          <w:shd w:fill="auto" w:val="clear"/>
        </w:rPr>
      </w:pPr>
      <w:r>
        <w:rPr>
          <w:shd w:fill="auto" w:val="clear"/>
        </w:rPr>
        <w:t>We compared the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shd w:fill="auto" w:val="clear"/>
        </w:rPr>
        <w:t>1</w:t>
      </w:r>
      <w:r>
        <w:rPr>
          <w:shd w:fill="auto" w:val="clear"/>
        </w:rPr>
        <w:t>). Beyond the signatures reported by Koh et al., we identified 23 new 89-type signatures. Of these,  12 map to 83-type signatures, 10 correspond to the novel 83-type signatures, and one does not align with any 83-type signature</w:t>
      </w:r>
      <w:r>
        <w:rPr>
          <w:rFonts w:hint="eastAsia"/>
          <w:shd w:fill="auto" w:val="clear"/>
        </w:rPr>
        <w:t xml:space="preserve"> (Table 1)</w:t>
      </w:r>
      <w:r>
        <w:rPr>
          <w:shd w:fill="auto" w:val="clear"/>
        </w:rPr>
        <w:t>.</w:t>
      </w:r>
    </w:p>
    <w:p>
      <w:pPr>
        <w:pStyle w:val="normalfirst"/>
        <w:rPr>
          <w:highlight w:val="none"/>
          <w:shd w:fill="FFFF00" w:val="clear"/>
        </w:rPr>
      </w:pPr>
      <w:r>
        <w:rPr>
          <w:shd w:fill="FFFF00" w:val="clear"/>
        </w:rPr>
      </w:r>
    </w:p>
    <w:p>
      <w:pPr>
        <w:pStyle w:val="normalfirst"/>
        <w:rPr>
          <w:highlight w:val="none"/>
          <w:shd w:fill="FFFF00" w:val="clear"/>
        </w:rPr>
      </w:pPr>
      <w:r>
        <w:rPr/>
        <w:t xml:space="preserve">We established correspondences between the 3 classifications by identifying tumor spectra dominated by the signatures.  *** </w:t>
      </w:r>
    </w:p>
    <w:p>
      <w:pPr>
        <w:pStyle w:val="normalfirst"/>
        <w:rPr>
          <w:shd w:fill="auto" w:val="clear"/>
        </w:rPr>
      </w:pPr>
      <w:r>
        <w:rPr>
          <w:shd w:fill="auto" w:val="clear"/>
        </w:rPr>
      </w:r>
    </w:p>
    <w:p>
      <w:pPr>
        <w:pStyle w:val="normalfirst"/>
        <w:rPr>
          <w:highlight w:val="none"/>
          <w:shd w:fill="FFFF00" w:val="clear"/>
        </w:rPr>
      </w:pPr>
      <w:r>
        <w:rPr>
          <w:shd w:fill="FFFF00"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
        <w:rPr/>
      </w:pPr>
      <w:r>
        <w:rPr/>
      </w:r>
    </w:p>
    <w:p>
      <w:pPr>
        <w:pStyle w:val="Normal"/>
        <w:rPr/>
      </w:pPr>
      <w:r>
        <w:rPr/>
      </w:r>
    </w:p>
    <w:p>
      <w:pPr>
        <w:pStyle w:val="Normal"/>
        <w:rPr/>
      </w:pPr>
      <w:r>
        <w:rPr/>
        <w:t>Notably, there were nuanced differences between some COSMIC signatures and those extracted by mSigHdp, with our mSigHdp-derived signatures often providing more biologically plausible characterizations: ID9 (see code repo)</w:t>
      </w:r>
    </w:p>
    <w:p>
      <w:pPr>
        <w:pStyle w:val="Normal"/>
        <w:rPr>
          <w:rFonts w:hint="eastAsia"/>
        </w:rPr>
      </w:pPr>
      <w:r>
        <w:rPr>
          <w:rFonts w:hint="eastAsia"/>
        </w:rPr>
      </w:r>
    </w:p>
    <w:p>
      <w:pPr>
        <w:pStyle w:val="Normal"/>
        <w:rPr/>
      </w:pPr>
      <w:r>
        <w:rPr>
          <w:rFonts w:hint="eastAsia"/>
        </w:rPr>
        <w:t>&lt;</w:t>
      </w:r>
      <w:r>
        <w:rPr>
          <w:rFonts w:hint="eastAsia"/>
        </w:rPr>
        <w:t>moved to temp docInsdel_5_and_8_discussion.docx for rewriting&gt;</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left="0"/>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left="0"/>
        <w:rPr>
          <w:rFonts w:hint="eastAsia"/>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having enriched mutations on the un-transcribed strand, and two of th</w:t>
      </w:r>
      <w:r>
        <w:rPr>
          <w:shd w:fill="auto" w:val="clear"/>
        </w:rPr>
        <w:t xml:space="preserve">em (C_ID7 and </w:t>
      </w:r>
      <w:r>
        <w:rPr>
          <w:rFonts w:eastAsia="宋体" w:hint="eastAsia"/>
          <w:shd w:fill="auto" w:val="clear"/>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ind w:hanging="0" w:left="0"/>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ind w:hanging="0" w:left="0"/>
        <w:rPr>
          <w:rFonts w:hint="eastAsia"/>
        </w:rPr>
      </w:pPr>
      <w:r>
        <w:rPr/>
        <w:t>A novel ID-TOP1 signature</w:t>
      </w:r>
    </w:p>
    <w:p>
      <w:pPr>
        <w:pStyle w:val="Normal"/>
        <w:rPr/>
      </w:pPr>
      <w:r>
        <w:rPr/>
        <w:t xml:space="preserve">We identified a novel pair of mutational signatures, Hx_ID29/ID_F and InsDelx29/InsDel_F,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Hx_ID29/ID_F activity: a skin melanoma genome (SP103894) with 3,772 Hx_ID29/ID_F mutations, and a breast cancer genome (SP5559) with 949 Hx_ID29/ID_F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ID_F&lt;OLD_Hx_ID29/ID_F&gt;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Hx_ID29/ID_F, along with their corresponding 89-type representations (InsDel4a, InsDel4b, and InsDelx29/InsDel_F), using a de novo extraction approach. Compared to C_ID4, Hx_ID29/ID_F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Hx_ID29/ID_F.</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Hx_ID29/ID_F,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Hx_ID29/ID_F</w:t>
      </w:r>
      <w:r>
        <w:rPr>
          <w:rFonts w:hint="eastAsia"/>
        </w:rPr>
        <w:t xml:space="preserve"> and InsDelx29/InsDel_F</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Hx_ID29/ID_F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Hx_ID29/ID_F, while NTNT (deletion from repeats) and CTNT (deletion from microhomology) at deletion sites for C_ID4 (Figure 8C). T</w:t>
      </w:r>
      <w:r>
        <w:rPr/>
        <w:t>umors exhibiting high Hx_ID29/ID_F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Hx_ID29/ID_F </w:t>
      </w:r>
      <w:r>
        <w:rPr>
          <w:rFonts w:hint="eastAsia"/>
        </w:rPr>
        <w:t xml:space="preserve">and InsDelx29/InsDel_F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Hx_ID29/ID_F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Hx_ID29/ID_F shows </w:t>
      </w:r>
      <w:r>
        <w:rPr/>
        <w:t>an</w:t>
      </w:r>
      <w:r>
        <w:rPr>
          <w:rFonts w:hint="eastAsia"/>
        </w:rPr>
        <w:t xml:space="preserve"> almost depletion of long deletions (deletion length≥3) at repeats and microhomologies (Figure S6A). Hx_ID29/ID_F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Hx_ID29/ID_F is associated with a transcription associated mutational process. </w:t>
      </w:r>
      <w:r>
        <w:rPr/>
        <w:t>Thus, Hx_ID29/ID_F</w:t>
      </w:r>
      <w:r>
        <w:rPr>
          <w:rFonts w:hint="eastAsia"/>
        </w:rPr>
        <w:t xml:space="preserve"> and InsDelx29/InsDel_F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ind w:hanging="0" w:left="0"/>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ind w:hanging="0" w:left="0"/>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left="0"/>
        <w:rPr/>
      </w:pPr>
      <w:r>
        <w:rPr/>
        <w:t>Materials and methods</w:t>
      </w:r>
    </w:p>
    <w:p>
      <w:pPr>
        <w:pStyle w:val="Heading2"/>
        <w:ind w:hanging="0" w:left="0"/>
        <w:rPr/>
      </w:pPr>
      <w:r>
        <w:rPr/>
        <w:t>Data sources</w:t>
      </w:r>
    </w:p>
    <w:p>
      <w:pPr>
        <w:pStyle w:val="Normal"/>
        <w:ind w:hanging="0" w:left="0"/>
        <w:rPr/>
      </w:pPr>
      <w:r>
        <w:rPr/>
        <w:t>Somatic indel calls from the ICGC/TCGA (International Cancer Genome Consortium/The Cancer Genome Atlas) Pan-Cancer Analysis of Whole Genomes Consortium and associated clinical characteristics were obtained from the ICGC data portal (</w:t>
      </w:r>
      <w:hyperlink r:id="rId7">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8">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lef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left="0"/>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left="0"/>
        <w:rPr/>
      </w:pPr>
      <w:r>
        <w:rPr/>
        <w:t>Simulating synthetic cancer datasets</w:t>
      </w:r>
    </w:p>
    <w:p>
      <w:pPr>
        <w:pStyle w:val="normalfirst"/>
        <w:rPr/>
      </w:pPr>
      <w:r>
        <w:rPr/>
        <w:t>Synthetic cancer datasets were simulated using SigProfilerSimulator (</w:t>
      </w:r>
      <w:hyperlink r:id="rId9">
        <w:r>
          <w:rPr>
            <w:rStyle w:val="Hyperlink"/>
          </w:rPr>
          <w:t>https://bmcbioinformatics.biomedcentral.com/articles/10.1186/s12859-020-03772-3</w:t>
        </w:r>
      </w:hyperlink>
      <w:r>
        <w:rPr/>
        <w:t xml:space="preserve">). </w:t>
      </w:r>
    </w:p>
    <w:p>
      <w:pPr>
        <w:pStyle w:val="Heading2"/>
        <w:ind w:hanging="0" w:left="0"/>
        <w:rPr/>
      </w:pPr>
      <w:r>
        <w:rPr/>
        <w:t>Annotating somatic indels based on transcribed versus un-transcribed strand</w:t>
      </w:r>
    </w:p>
    <w:p>
      <w:pPr>
        <w:pStyle w:val="normalfirst"/>
        <w:rPr/>
      </w:pPr>
      <w:r>
        <w:rPr/>
        <w:t>We followed the method in (</w:t>
      </w:r>
      <w:hyperlink r:id="rId10">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lef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11">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lef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left="0"/>
        <w:rPr/>
      </w:pPr>
      <w:r>
        <w:rPr/>
        <w:t>Analyses of replication timing across cancer types</w:t>
      </w:r>
    </w:p>
    <w:p>
      <w:pPr>
        <w:pStyle w:val="normalfirst"/>
        <w:rPr/>
      </w:pPr>
      <w:r>
        <w:rPr/>
        <w:t>Replication timing data were obtained from (</w:t>
      </w:r>
      <w:hyperlink r:id="rId12">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lef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lef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lef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lef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lef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lef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left="0"/>
        <w:rPr/>
      </w:pPr>
      <w:r>
        <w:rPr/>
        <w:t>Acknowledgment</w:t>
      </w:r>
    </w:p>
    <w:p>
      <w:pPr>
        <w:pStyle w:val="normalfirst"/>
        <w:rPr>
          <w:rFonts w:hint="eastAsia"/>
        </w:rPr>
      </w:pPr>
      <w:r>
        <w:rPr>
          <w:rFonts w:hint="eastAsia"/>
        </w:rPr>
        <w:t xml:space="preserve">We thank Shang Li for providing plasmids for generating CRISPR knockout clones. </w:t>
      </w:r>
    </w:p>
    <w:p>
      <w:pPr>
        <w:pStyle w:val="Heading1"/>
        <w:ind w:hanging="0" w:lef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lef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lef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swiss"/>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37</w:t>
    </w:r>
    <w:r>
      <w:rPr/>
      <w:fldChar w:fldCharType="end"/>
    </w:r>
  </w:p>
</w:ftr>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
    <w:name w:val="Bullets"/>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false"/>
      <w:bidi w:val="0"/>
      <w:spacing w:lineRule="auto" w:line="240"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www.nature.com/articles/s41586-025-09025-8" TargetMode="External"/><Relationship Id="rId6" Type="http://schemas.openxmlformats.org/officeDocument/2006/relationships/hyperlink" Target="https://www.medrxiv.org/content/10.1101/2023.06.07.23290970v1" TargetMode="External"/><Relationship Id="rId7" Type="http://schemas.openxmlformats.org/officeDocument/2006/relationships/hyperlink" Target="https://dcc.icgc.org/releases/current/Projects/" TargetMode="External"/><Relationship Id="rId8" Type="http://schemas.openxmlformats.org/officeDocument/2006/relationships/hyperlink" Target="https://cancer.sanger.ac.uk/cosmic/census?tier=1" TargetMode="External"/><Relationship Id="rId9" Type="http://schemas.openxmlformats.org/officeDocument/2006/relationships/hyperlink" Target="https://bmcbioinformatics.biomedcentral.com/articles/10.1186/s12859-020-03772-3" TargetMode="External"/><Relationship Id="rId10" Type="http://schemas.openxmlformats.org/officeDocument/2006/relationships/hyperlink" Target="https://doi.org/10.1016/j.celrep.2023.112930" TargetMode="External"/><Relationship Id="rId11" Type="http://schemas.openxmlformats.org/officeDocument/2006/relationships/hyperlink" Target="https://hgdownload.cse.ucsc.edu/goldenPath/hg19/encodeDCC/wgEncodeUwRepliSeq/" TargetMode="External"/><Relationship Id="rId12" Type="http://schemas.openxmlformats.org/officeDocument/2006/relationships/hyperlink" Target="https://genomebiology.biomedcentral.com/articles/10.1186/s13059-018-1509-y"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2651</TotalTime>
  <Application>LibreOffice/25.8.4.2$Linux_X86_64 LibreOffice_project/580$Build-2</Application>
  <AppVersion>15.0000</AppVersion>
  <Pages>37</Pages>
  <Words>8762</Words>
  <Characters>53865</Characters>
  <CharactersWithSpaces>62492</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2025-12-31T21:22:33Z</dcterms:modified>
  <cp:revision>123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