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w:t>
      </w:r>
      <w:r>
        <w:rPr/>
        <w:t>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 Qi Zheng</w:t>
      </w:r>
      <w:r>
        <w:rPr>
          <w:rFonts w:hint="eastAsia"/>
        </w:rPr>
        <w:t xml:space="preserve">1, </w:t>
      </w:r>
      <w:r>
        <w:rPr/>
        <w:t>Runtian Yao</w:t>
      </w:r>
      <w:r>
        <w:rPr>
          <w:rFonts w:hint="eastAsia"/>
        </w:rPr>
        <w:t>2</w:t>
      </w:r>
      <w:r>
        <w:rPr/>
        <w:t xml:space="preserve">, </w:t>
      </w:r>
      <w:r>
        <w:rPr>
          <w:rFonts w:hint="eastAsia"/>
        </w:rPr>
        <w:t xml:space="preserve">Ying Yang1,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School of Medicine, Shenzhen Campus of Sun Yat-</w:t>
      </w:r>
      <w:r>
        <w:rPr>
          <w:rFonts w:hint="eastAsia"/>
        </w:rPr>
        <w:t>S</w:t>
      </w:r>
      <w:r>
        <w:rPr/>
        <w:t>en University, Sun Yat-sen University,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steverozen@pm.me</w:t>
      </w:r>
    </w:p>
    <w:p>
      <w:pPr>
        <w:pStyle w:val="Normal"/>
        <w:rPr/>
      </w:pPr>
      <w:r>
        <w:rPr/>
      </w:r>
      <w:r>
        <w:br w:type="page"/>
      </w:r>
    </w:p>
    <w:p>
      <w:pPr>
        <w:pStyle w:val="Heading1"/>
        <w:spacing w:before="0" w:after="120"/>
        <w:rPr>
          <w:rFonts w:hint="eastAsia"/>
        </w:rPr>
      </w:pPr>
      <w:r>
        <w:rPr>
          <w:rFonts w:hint="eastAsia"/>
        </w:rPr>
        <w:t>Summary</w:t>
      </w:r>
    </w:p>
    <w:p>
      <w:pPr>
        <w:pStyle w:val="Heading1"/>
        <w:spacing w:before="0" w:after="120"/>
        <w:rPr>
          <w:rFonts w:hint="eastAsia"/>
          <w:b w:val="false"/>
          <w:bCs w:val="false"/>
        </w:rPr>
      </w:pPr>
      <w:r>
        <w:rPr>
          <w:rFonts w:hint="eastAsia"/>
          <w:b w:val="false"/>
          <w:bCs w:val="false"/>
        </w:rPr>
        <w:t>We present a unified repertoire of indel mutational signatures in 6,975 tumors across 32 cancer types. Small insertions and deletions ("indels") are a major but under-studied class of mutations. Koh, Nanda, and colleagues recently introduced two richer indel classifications, with 89 and 476 indel types. We derived signatures separately in each of the new classification schemes in the widely used 83-type classification scheme using two algorithms. We identified 44 89-type signatures and their matched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w:t>
      </w:r>
      <w:r>
        <w:rPr>
          <w:rFonts w:hint="eastAsia"/>
          <w:b w:val="false"/>
          <w:bCs w:val="false"/>
          <w:shd w:fill="FFFF00" w:val="clear"/>
        </w:rPr>
        <w:t xml:space="preserve"> tumor distributions, and genomic topography</w:t>
      </w:r>
      <w:r>
        <w:rPr>
          <w:rFonts w:hint="eastAsia"/>
          <w:b w:val="false"/>
          <w:bCs w:val="false"/>
        </w:rPr>
        <w:t>.</w:t>
      </w:r>
    </w:p>
    <w:p>
      <w:pPr>
        <w:pStyle w:val="Heading1"/>
        <w:spacing w:before="0" w:after="120"/>
        <w:rPr>
          <w:rFonts w:hint="eastAsia"/>
        </w:rPr>
      </w:pPr>
      <w:r>
        <w:rPr>
          <w:rFonts w:hint="eastAsia"/>
        </w:rPr>
        <w:t>148 words – (143 excluding the yellow); maybe we add spectrum building to the web app</w:t>
      </w:r>
      <w:r>
        <w:br w:type="page"/>
      </w:r>
    </w:p>
    <w:p>
      <w:pPr>
        <w:pStyle w:val="Heading1"/>
        <w:spacing w:before="0" w:after="120"/>
        <w:rPr>
          <w:rFonts w:hint="eastAsia"/>
        </w:rPr>
      </w:pPr>
      <w:r>
        <w:rPr>
          <w:rFonts w:hint="eastAsia"/>
        </w:rPr>
        <w:t xml:space="preserve">Old Long </w:t>
      </w:r>
      <w:r>
        <w:rPr>
          <w:rFonts w:hint="eastAsia"/>
        </w:rPr>
        <w:t>Abstract</w:t>
      </w:r>
    </w:p>
    <w:p>
      <w:pPr>
        <w:pStyle w:val="normalfirst"/>
        <w:rPr/>
      </w:pPr>
      <w:r>
        <w:rPr/>
        <w:t>Mutational signatures can be viewed as latent factors that can reconstruct observed mutational spectra and that ideally correspond to specific mutagenic mechanisms. The mutational signatures of small insertions and deletions (“indels”) have been under-studied, but Koh, Nanda, and colleagues recently published two new classifications that recognize 89 types and 476 types of indels. We show here that both these classifications provide better discrimination between spectra and signatures than the older classification into 83 types of indel. We analyzed somatic indels in 6,975 whole genomes from 32 cancer types to create comprehensive collections of indel signatures. We identified signatures in all three classification schemes (476, 89, and 83 types of indels) using a method based on hierarchical Dirichlet processes and a method based on non-negative matrix factorization, with consistent results across the two methods. We identified 44 89-type mutational signatures and, independently, their corresponding 476-type signatures. Of these, to our knowledge, similar 89-type signatures were previously described for 18. Lossless translation between signatures in the 83-type and the two new classification schemes is impossible. However, we leveraged tumor mutational spectra dominated by individual signatures to exhaustively elucidate these correspondences. We found that the new classification schemes are in most cases superior, in that they detect differences between spectra and signatures that the 83-type classification does not. We provide a web site for exploring indel signatures and their relationships across the three classification</w:t>
      </w:r>
      <w:r>
        <w:rPr>
          <w:shd w:fill="FFFF00" w:val="clear"/>
        </w:rPr>
        <w:t xml:space="preserve">s, as well as </w:t>
      </w:r>
      <w:r>
        <w:rPr>
          <w:shd w:fill="FFFF00" w:val="clear"/>
        </w:rPr>
        <w:t>signatures’ presence in tumors</w:t>
      </w:r>
      <w:r>
        <w:rPr>
          <w:shd w:fill="FFFF00" w:val="clear"/>
        </w:rPr>
        <w:t xml:space="preserve"> and signatures’ relationships to genomic topography.</w:t>
      </w:r>
      <w:r>
        <w:rPr/>
        <w:t xml:space="preserve"> </w:t>
      </w:r>
    </w:p>
    <w:p>
      <w:pPr>
        <w:pStyle w:val="normalfirst"/>
        <w:rPr/>
      </w:pPr>
      <w:r>
        <w:rPr/>
        <w:t>(Currently 244 words)</w:t>
      </w:r>
    </w:p>
    <w:p>
      <w:pPr>
        <w:pStyle w:val="normalfirst"/>
        <w:rPr/>
      </w:pPr>
      <w:r>
        <w:rPr/>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Davies et al. 2017; Koh et al. 2025)</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2bTJlJjriYWb"/>
      <w:r>
        <w:rPr/>
        <w:t>(Koh et al. 2025)</w:t>
      </w:r>
      <w:bookmarkEnd w:id="10"/>
      <w:r>
        <w:rPr/>
        <w:t xml:space="preserve"> proposed two classification schemes, one with 89 types of indel and one with 476 types (Figure 1). </w:t>
      </w:r>
    </w:p>
    <w:p>
      <w:pPr>
        <w:pStyle w:val="Normal"/>
        <w:rPr/>
      </w:pPr>
      <w:r>
        <w:rPr/>
        <w:t xml:space="preserve">The older, 83-type scheme primarily categorizes indels based on the number of bases inserted or deleted, and for single-base insertions and deletions the identity of the deleted or inserted base (conventionally shown as pyrimidines, C or T) </w:t>
      </w:r>
      <w:bookmarkStart w:id="11" w:name="ZOTERO_BREF_DLfsir5mroQA"/>
      <w:r>
        <w:rPr/>
        <w:t>(Rozen 2026)</w:t>
      </w:r>
      <w:bookmarkEnd w:id="11"/>
      <w:r>
        <w:rPr/>
        <w: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w:t>
      </w:r>
      <w:r>
        <w:rPr>
          <w:rFonts w:hint="eastAsia"/>
        </w:rPr>
        <w:t xml:space="preserve"> ≥2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 → A</w:t>
      </w:r>
      <w:r>
        <w:rPr>
          <w:b/>
          <w:bCs/>
        </w:rPr>
        <w:t>CA</w:t>
      </w:r>
      <w:r>
        <w:rPr>
          <w:rFonts w:hint="eastAsia"/>
        </w:rPr>
        <w:t>GG) exhibits a 2-b</w:t>
      </w:r>
      <w:r>
        <w:rPr/>
        <w:t>ase</w:t>
      </w:r>
      <w:r>
        <w:rPr>
          <w:rFonts w:hint="eastAsia"/>
        </w:rPr>
        <w:t xml:space="preserve"> microhomology (CA)</w:t>
      </w:r>
      <w:r>
        <w:rPr/>
        <w:t xml:space="preserve">. </w:t>
      </w:r>
    </w:p>
    <w:p>
      <w:pPr>
        <w:pStyle w:val="Normal"/>
        <w:rPr/>
      </w:pPr>
      <w:r>
        <w:rPr/>
        <w:t>O</w:t>
      </w:r>
      <w:r>
        <w:rPr/>
        <w:t xml:space="preserve">ne </w:t>
      </w:r>
      <w:r>
        <w:rPr/>
        <w:t xml:space="preserve">of the new classification schemes is </w:t>
      </w:r>
      <w:r>
        <w:rPr/>
        <w:t xml:space="preserve">based on 476 types of indel and one </w:t>
      </w:r>
      <w:r>
        <w:rPr/>
        <w:t xml:space="preserve">is </w:t>
      </w:r>
      <w:r>
        <w:rPr/>
        <w:t xml:space="preserve">based on 89 types, which mainly consolidates similar mutation types in the 476-type classification into coarser-grained mutation types </w:t>
      </w:r>
      <w:bookmarkStart w:id="12" w:name="ZOTERO_BREF_6zFIi2vPZWZ4"/>
      <w:r>
        <w:rPr/>
        <w:t>(Koh et al. 2025)</w:t>
      </w:r>
      <w:bookmarkEnd w:id="12"/>
      <w:r>
        <w:rPr/>
        <w:t xml:space="preserve"> </w:t>
      </w:r>
      <w:r>
        <w:rPr>
          <w:shd w:fill="00FFFF" w:val="clear"/>
        </w:rPr>
        <w:t>(Figure 1)</w:t>
      </w:r>
      <w:r>
        <w:rPr>
          <w:color w:val="000000"/>
        </w:rPr>
        <w:t>.</w:t>
      </w:r>
      <w:r>
        <w:rPr/>
        <w:t xml:space="preserve"> </w:t>
      </w:r>
      <w:r>
        <w:rPr/>
        <w:t xml:space="preserve">A prominent distinction is </w:t>
      </w:r>
      <w:r>
        <w:rPr/>
        <w:t xml:space="preserve">that, </w:t>
      </w:r>
      <w:r>
        <w:rPr/>
        <w:t xml:space="preserve">unlike the 83-type classification scheme, both the </w:t>
      </w:r>
      <w:r>
        <w:rPr/>
        <w:t>new</w:t>
      </w:r>
      <w:r>
        <w:rPr/>
        <w:t xml:space="preserve">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w:t>
      </w:r>
      <w:r>
        <w:rPr/>
        <w:t xml:space="preserve">83-type classification distinguishes deletions of single Ts only by the number of T’s at the site of the deletion: 1, 2, 3, 4, 5, or &gt;= 6 Ts </w:t>
      </w:r>
      <w:r>
        <w:rPr>
          <w:shd w:fill="00FFFF" w:val="clear"/>
        </w:rPr>
        <w:t>(Figure 1A)</w:t>
      </w:r>
      <w:r>
        <w:rPr/>
        <w:t xml:space="preserve">. By contrast, the </w:t>
      </w:r>
      <w:r>
        <w:rPr/>
        <w:t xml:space="preserve">89-type classification distinguishes </w:t>
      </w:r>
      <w:r>
        <w:rPr/>
        <w:t>among</w:t>
      </w:r>
      <w:r>
        <w:rPr/>
        <w:t xml:space="preserve"> deletions of T </w:t>
      </w:r>
      <w:r>
        <w:rPr/>
        <w:t xml:space="preserve">according to bases preceding or following the sequence of Ts at the site of the deletion. However, it groups together deletions of T from sequences of 1, 2, 3, or 4 T, and groups together deletions of sequences of 5, 6, 7, ,8 and Ts. </w:t>
      </w:r>
      <w:r>
        <w:rPr/>
        <w:t xml:space="preserve">Thus, </w:t>
      </w:r>
      <w:r>
        <w:rPr/>
        <w:t xml:space="preserve">for example, </w:t>
      </w:r>
      <w:r>
        <w:rPr/>
        <w:t xml:space="preserve">deletions of ATA→AA or ATTA&gt;ATA are distinguished from deletions of CTA&gt;CA or CTTA&gt;CTA, </w:t>
      </w:r>
      <w:r>
        <w:rPr/>
        <w:t xml:space="preserve">but the deletions CTA→ CA and CTTTTA→ CTTTA are not distinguished. </w:t>
      </w:r>
      <w:r>
        <w:rPr>
          <w:shd w:fill="FFFF00" w:val="clear"/>
        </w:rPr>
        <w:t>476XXXX</w:t>
      </w:r>
      <w:r>
        <w:rPr>
          <w:shd w:fill="FFFF00" w:val="clear"/>
        </w:rPr>
        <w:t>.</w:t>
      </w:r>
      <w:r>
        <w:rPr>
          <w:shd w:fill="FFFF00" w:val="clear"/>
        </w:rPr>
        <w:t>NE</w:t>
      </w:r>
      <w:r>
        <w:rPr>
          <w:shd w:fill="FFFF00" w:val="clear"/>
        </w:rPr>
        <w:t>ED MORE AND TABLES</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also mapped the mutational signatures based on the 83-type classification to signatures in the other two classifications based on tumor samples with high cosine similarities to signatures. We further profiled the replication timing, asymmetry</w:t>
      </w:r>
      <w:r>
        <w:rPr>
          <w:rFonts w:hint="eastAsia"/>
        </w:rPr>
        <w:t xml:space="preserve"> between genic and intergenic regions and </w:t>
      </w:r>
      <w:r>
        <w:rPr/>
        <w:t>asymmetry</w:t>
      </w:r>
      <w:r>
        <w:rPr>
          <w:rFonts w:hint="eastAsia"/>
        </w:rPr>
        <w:t xml:space="preserve"> between leading and lagging </w:t>
      </w:r>
      <w:r>
        <w:rPr/>
        <w:t xml:space="preserve">replication strand of each signature, providing insights into their underlying mutational processes. We also tallied </w:t>
      </w:r>
      <w:r>
        <w:rPr>
          <w:shd w:fill="FFFF00" w:val="clear"/>
        </w:rPr>
        <w:t>their contributions to key cancer genes, associations to SBSs and to sex within a given cancer type. In addition to the supplementary information provided here, we also provide a web site to facilitate exploration of these signatures.</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32 cancer types</w:t>
      </w:r>
      <w:r>
        <w:rPr>
          <w:shd w:fill="FFFF00" w:val="clear"/>
        </w:rPr>
        <w:t xml:space="preserve"> </w:t>
      </w:r>
      <w:r>
        <w:rPr/>
        <w:t xml:space="preserve">using a method based on hierarchical Dirichlet processes  </w:t>
      </w:r>
      <w:bookmarkStart w:id="13" w:name="ZOTERO_BREF_sXKgi2ptdMXh"/>
      <w:r>
        <w:rPr/>
        <w:t>(Liu et al. 2023)</w:t>
      </w:r>
      <w:bookmarkEnd w:id="13"/>
      <w:r>
        <w:rPr/>
        <w:t xml:space="preserve">, and SigProfilerExtractor (SigPro), a method based on non-negative matrix factorization </w:t>
      </w:r>
      <w:bookmarkStart w:id="14" w:name="ZOTERO_BREF_Ax2rB3g50il2"/>
      <w:r>
        <w:rPr/>
        <w:t>(Islam et al. 2022)</w:t>
      </w:r>
      <w:bookmarkEnd w:id="14"/>
      <w:r>
        <w:rPr/>
        <w:t>.</w:t>
      </w:r>
      <w:commentRangeStart w:id="0"/>
      <w:commentRangeStart w:id="1"/>
      <w:r>
        <w:rPr/>
        <w:t xml:space="preserve"> The extracted signatures were broadly consistent between the two methods </w:t>
      </w:r>
      <w:r>
        <w:rPr>
          <w:shd w:fill="FFFF00" w:val="clear"/>
        </w:rPr>
        <w:t xml:space="preserve">(reference table 1, shiny app, our vignette), </w:t>
      </w:r>
      <w:r>
        <w:rPr/>
        <w:t>W</w:t>
      </w:r>
      <w:r>
        <w:rPr/>
      </w:r>
      <w:commentRangeEnd w:id="1"/>
      <w:r>
        <w:commentReference w:id="1"/>
      </w:r>
      <w:r>
        <w:rPr/>
      </w:r>
      <w:commentRangeEnd w:id="0"/>
      <w:r>
        <w:commentReference w:id="0"/>
      </w:r>
      <w:r>
        <w:rPr/>
        <w:t>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w:t>
      </w:r>
      <w:commentRangeStart w:id="2"/>
      <w:r>
        <w:rPr/>
        <w:t xml:space="preserve">h the </w:t>
      </w:r>
      <w:r>
        <w:rPr/>
      </w:r>
      <w:commentRangeEnd w:id="2"/>
      <w:r>
        <w:commentReference w:id="2"/>
      </w:r>
      <w:r>
        <w:rPr/>
        <w:t xml:space="preserve">were discovered. Further evidence of their robustness derives from the identification of tumor spectra dominated by a single signature. For </w:t>
      </w:r>
      <w:r>
        <w:rPr>
          <w:shd w:fill="FFFF00" w:val="clear"/>
        </w:rPr>
        <w:t>35</w:t>
      </w:r>
      <w:r>
        <w:rPr/>
        <w:t xml:space="preserve"> of the 44 signatures we identified tumor spectra with &gt; </w:t>
      </w:r>
      <w:r>
        <w:rPr>
          <w:shd w:fill="FFFF00" w:val="clear"/>
        </w:rPr>
        <w:t>0.95</w:t>
      </w:r>
      <w:r>
        <w:rPr/>
        <w:t xml:space="preserve"> cosine similarity, and 39 of the signatures had tumor spectra with &gt; 0.90 similarity (Table 1). Of the 44 signatures identified in the 89-type classification, similar signatures were previously described for 18 </w:t>
      </w:r>
      <w:bookmarkStart w:id="15" w:name="ZOTERO_BREF_DLtC4TQmbVUR"/>
      <w:r>
        <w:rPr/>
        <w:t>(Koh et al. 2025)</w:t>
      </w:r>
      <w:bookmarkEnd w:id="15"/>
      <w:r>
        <w:rPr/>
        <w:t xml:space="preserve">. </w:t>
      </w:r>
    </w:p>
    <w:p>
      <w:pPr>
        <w:pStyle w:val="normalfirst"/>
        <w:ind w:firstLine="720"/>
        <w:rPr/>
      </w:pPr>
      <w:r>
        <w:rPr/>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6" w:name="ZOTERO_BREF_RenPiKIXIJyQ"/>
      <w:r>
        <w:rPr/>
        <w:t>(Jin et al. 2024b)</w:t>
      </w:r>
      <w:bookmarkEnd w:id="16"/>
      <w:r>
        <w:rPr/>
        <w:t>.</w:t>
      </w:r>
    </w:p>
    <w:p>
      <w:pPr>
        <w:pStyle w:val="normalfirst"/>
        <w:ind w:firstLine="720"/>
        <w:rPr/>
      </w:pPr>
      <w:r>
        <w:rPr/>
        <w:t xml:space="preserve">Because lossless translation between signatures in the 83-type and the two new classification schemes is impossible </w:t>
      </w:r>
      <w:r>
        <w:rPr>
          <w:shd w:fill="FFFF00" w:val="clear"/>
        </w:rPr>
        <w:t>&lt;steve create sup table from .csv file and call it sup_table_no_translation.xlsx&gt;</w:t>
      </w:r>
      <w:r>
        <w:rPr/>
        <w:t xml:space="preserve">, we used the tumor mutational spectra dominated by individual signatures to exhaustively elucidate these correspondences between the signatures in the 83-type classification system and in the two new classification systems. Table 1 shows the concordances, with details and discussion in </w:t>
      </w:r>
      <w:r>
        <w:rPr>
          <w:shd w:fill="FFFF00" w:val="clear"/>
        </w:rPr>
        <w:t>&lt;cite vignette and shiny app&gt;</w:t>
      </w:r>
      <w:r>
        <w:rPr/>
        <w:t xml:space="preserve">. </w:t>
      </w:r>
    </w:p>
    <w:p>
      <w:pPr>
        <w:pStyle w:val="normalfirst"/>
        <w:ind w:firstLine="720"/>
        <w:rPr/>
      </w:pPr>
      <w:r>
        <w:rPr/>
        <w:t>In several cases, the 89 and 476 type systems were able to distinguish signatures that the 83-type system merged: &lt;this is a note, delete it: ID1, 2, 3, 5, 19, A, N&gt;.</w:t>
      </w:r>
      <w:r>
        <w:rPr>
          <w:shd w:fill="FFFF00" w:val="clear"/>
        </w:rPr>
        <w:t xml:space="preserve"> &lt;steve write up examples: use 3a (bladder) and 3b (lung/liver well known; bladder new finding) 19a 19b, A_alpha,A_beta&gt; This is a primary component of the advantages of the two new type systems. In many cases the differences between the signatures in the 89 and 476</w:t>
      </w:r>
    </w:p>
    <w:p>
      <w:pPr>
        <w:pStyle w:val="normalfirst"/>
        <w:ind w:firstLine="720"/>
        <w:rPr/>
      </w:pPr>
      <w:r>
        <w:rPr/>
        <w:t xml:space="preserve">Conversely, there were two cases in which the 83-type and 476 type systems were able to distinguish two signatures that were similar the 89-type system. In the 89-type system InsDel13 and InsDel_C look very similar because the 89-type system combines deletion of single Ts in stretches of 1, 2, 3, or 4 Ts. However the 83 and 476 type systems show that InsDelC has deletions of 1 T from ATA (ATA → AA), while InsDel13 as deletions of T from ATTA (ATTA → ATA). </w:t>
      </w:r>
      <w:commentRangeStart w:id="3"/>
      <w:r>
        <w:rPr>
          <w:shd w:fill="FFFF00" w:val="clear"/>
        </w:rPr>
        <w:t>&lt;time permitting – do sup fig&gt;</w:t>
      </w:r>
      <w:r>
        <w:rPr>
          <w:shd w:fill="FFFF00" w:val="clear"/>
        </w:rPr>
      </w:r>
      <w:commentRangeEnd w:id="3"/>
      <w:r>
        <w:commentReference w:id="3"/>
      </w:r>
      <w:r>
        <w:rPr>
          <w:shd w:fill="FFFF00" w:val="clear"/>
        </w:rPr>
        <w:t>.</w:t>
      </w:r>
    </w:p>
    <w:p>
      <w:pPr>
        <w:pStyle w:val="normalfirst"/>
        <w:ind w:firstLine="720"/>
        <w:rPr/>
      </w:pPr>
      <w:r>
        <w:rPr/>
        <w:t xml:space="preserve">The pair InsDel11 and InsDel16 is also similar, with InsDel11 having insertions of one C next to an isolated C (C with non-Cs on each side, e.g. ACG -&gt; ACCG) and insertion of a one T next to an isolated T (e.g. GTG -&gt; GTTG), as opposed to InsDel16, which has insertion of one  C between non-Cs (e.g. AT -&gt; ACT), and insertion of one T between non-Ts (e.g. AG -&gt; ATG). </w:t>
      </w:r>
      <w:r>
        <w:rPr>
          <w:shd w:fill="FFFF00" w:val="clear"/>
        </w:rPr>
        <w:t>&lt;time permitting – do sup fig&gt;.</w:t>
      </w:r>
    </w:p>
    <w:p>
      <w:pPr>
        <w:pStyle w:val="normalfirst"/>
        <w:rPr>
          <w:b/>
          <w:bCs/>
          <w:i/>
          <w:iCs/>
        </w:rPr>
      </w:pPr>
      <w:r>
        <w:rPr>
          <w:b/>
          <w:bCs/>
          <w:i/>
          <w:iCs/>
        </w:rPr>
        <w:t>Signature assignments</w:t>
      </w:r>
    </w:p>
    <w:p>
      <w:pPr>
        <w:pStyle w:val="normalfirst"/>
        <w:rPr>
          <w:b/>
          <w:bCs/>
          <w:i/>
          <w:iCs/>
        </w:rPr>
      </w:pPr>
      <w:r>
        <w:rPr>
          <w:b/>
          <w:bCs/>
          <w:i/>
          <w:iCs/>
        </w:rPr>
      </w:r>
    </w:p>
    <w:p>
      <w:pPr>
        <w:pStyle w:val="normalfirst"/>
        <w:rPr>
          <w:b/>
          <w:bCs/>
          <w:i/>
          <w:iCs/>
        </w:rPr>
      </w:pPr>
      <w:r>
        <w:rPr>
          <w:b/>
          <w:bCs/>
          <w:i/>
          <w:iCs/>
        </w:rPr>
        <w:t>New insights</w:t>
      </w:r>
    </w:p>
    <w:p>
      <w:pPr>
        <w:pStyle w:val="normalfirst"/>
        <w:rPr>
          <w:b/>
          <w:bCs/>
          <w:i/>
          <w:iCs/>
        </w:rPr>
      </w:pPr>
      <w:r>
        <w:rPr>
          <w:b/>
          <w:bCs/>
          <w:i/>
          <w:iCs/>
        </w:rPr>
        <w:t xml:space="preserve">AA </w:t>
      </w:r>
    </w:p>
    <w:p>
      <w:pPr>
        <w:pStyle w:val="normalfirst"/>
        <w:rPr/>
      </w:pPr>
      <w:r>
        <w:rPr>
          <w:shd w:fill="FFFF00" w:val="clear"/>
        </w:rPr>
        <w:t>&lt;edit&gt; &lt;forget about 89, just contrast 476 to 8</w:t>
      </w:r>
      <w:r>
        <w:rPr/>
        <w:t>9&gt; One example of benefits of the new classification schemes is that it reveals that the most common AA-related deletions of single Ts are deletions of single Ts, while the 89-type collapses these to a single types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A&gt;T single base substitutions in the AA SBS signature and of the frequent involvement of adenines in the AA DBS signatures (Figure 1C,D).</w:t>
      </w:r>
    </w:p>
    <w:p>
      <w:pPr>
        <w:pStyle w:val="normalfirst"/>
        <w:rPr>
          <w:b/>
          <w:bCs/>
          <w:i/>
          <w:iCs/>
        </w:rPr>
      </w:pPr>
      <w:r>
        <w:rPr>
          <w:b/>
          <w:bCs/>
          <w:i/>
          <w:iCs/>
        </w:rPr>
        <w:t>InsDel17  vs InsDel8</w:t>
      </w:r>
    </w:p>
    <w:p>
      <w:pPr>
        <w:pStyle w:val="normalfirst"/>
        <w:rPr>
          <w:b/>
          <w:bCs/>
          <w:i/>
          <w:iCs/>
        </w:rPr>
      </w:pPr>
      <w:r>
        <w:rPr>
          <w:b/>
          <w:bCs/>
          <w:i/>
          <w:iCs/>
        </w:rPr>
        <w:t xml:space="preserve">A_beta looks like apobec in (already known) / a alpha not correlated  A beta is TCA → TA and TCT → TT, SBS2 TCA →  TTA, TCT → TTT SBS13 is TCA → TGA, TCT -&gt;TGT </w:t>
      </w:r>
      <w:hyperlink r:id="rId3">
        <w:r>
          <w:rPr>
            <w:rStyle w:val="Hyperlink"/>
            <w:b/>
            <w:bCs/>
            <w:i/>
            <w:iCs/>
          </w:rPr>
          <w:t>https://www.sciencedirect.com/science/article/pii/S2211124722002996</w:t>
        </w:r>
      </w:hyperlink>
    </w:p>
    <w:p>
      <w:pPr>
        <w:pStyle w:val="normalfirst"/>
        <w:rPr>
          <w:b/>
          <w:bCs/>
          <w:i/>
          <w:iCs/>
        </w:rPr>
      </w:pPr>
      <w:r>
        <w:rPr>
          <w:b/>
          <w:bCs/>
          <w:i/>
          <w:iCs/>
        </w:rPr>
        <w:t>Koh already cited the paper above; did the paper look at the context -- NO</w:t>
      </w:r>
    </w:p>
    <w:p>
      <w:pPr>
        <w:pStyle w:val="normalfirst"/>
        <w:rPr>
          <w:b/>
          <w:bCs/>
          <w:i/>
          <w:iCs/>
        </w:rPr>
      </w:pPr>
      <w:r>
        <w:rPr>
          <w:b/>
          <w:bCs/>
          <w:i/>
          <w:iCs/>
        </w:rPr>
        <w:t xml:space="preserve">UV: </w:t>
      </w:r>
      <w:hyperlink r:id="rId4">
        <w:r>
          <w:rPr>
            <w:rStyle w:val="Hyperlink"/>
            <w:b/>
            <w:bCs/>
            <w:i/>
            <w:iCs/>
          </w:rPr>
          <w:t>https://share.google/aimode/iNBDfopq5IisBu9TY</w:t>
        </w:r>
      </w:hyperlink>
    </w:p>
    <w:p>
      <w:pPr>
        <w:pStyle w:val="normalfirst"/>
        <w:rPr>
          <w:b/>
          <w:bCs/>
          <w:i/>
          <w:iCs/>
        </w:rPr>
      </w:pPr>
      <w:r>
        <w:rPr>
          <w:b/>
          <w:bCs/>
          <w:i/>
          <w:iCs/>
        </w:rPr>
        <w:t>Sig H – 476 doesn’t really capture it</w:t>
      </w:r>
    </w:p>
    <w:p>
      <w:pPr>
        <w:pStyle w:val="normalfirst"/>
        <w:rPr>
          <w:b/>
          <w:bCs/>
          <w:i/>
          <w:iCs/>
        </w:rPr>
      </w:pPr>
      <w:r>
        <w:rPr>
          <w:b/>
          <w:bCs/>
          <w:i/>
          <w:iCs/>
        </w:rPr>
        <w:t>N_beta is the new ID2</w:t>
      </w:r>
    </w:p>
    <w:p>
      <w:pPr>
        <w:pStyle w:val="Heading2"/>
        <w:rPr/>
      </w:pPr>
      <w:r>
        <w:rPr/>
        <w:t>Signature activity</w:t>
      </w:r>
    </w:p>
    <w:p>
      <w:pPr>
        <w:pStyle w:val="Normal"/>
        <w:rPr>
          <w:rFonts w:eastAsia="宋体"/>
        </w:rPr>
      </w:pPr>
      <w:r>
        <w:rPr>
          <w:rFonts w:eastAsia="宋体"/>
        </w:rPr>
        <w:t>We assessed sig activity / maybe ack limitiations and site our paper</w:t>
      </w:r>
    </w:p>
    <w:p>
      <w:pPr>
        <w:pStyle w:val="Normal"/>
        <w:rPr>
          <w:rFonts w:eastAsia="宋体"/>
        </w:rPr>
      </w:pPr>
      <w:r>
        <w:rPr>
          <w:rFonts w:eastAsia="宋体"/>
        </w:rPr>
        <w:t>New sigs are rarer.</w:t>
      </w:r>
    </w:p>
    <w:p>
      <w:pPr>
        <w:pStyle w:val="Normal"/>
        <w:rPr>
          <w:rFonts w:eastAsia="宋体"/>
        </w:rPr>
      </w:pPr>
      <w:r>
        <w:rPr>
          <w:rFonts w:eastAsia="宋体"/>
        </w:rPr>
        <w:t>Few surprises beyond splitting, except 2</w:t>
      </w:r>
    </w:p>
    <w:p>
      <w:pPr>
        <w:pStyle w:val="Normal"/>
        <w:rPr>
          <w:rFonts w:eastAsia="宋体"/>
        </w:rPr>
      </w:pPr>
      <w:r>
        <w:rPr>
          <w:rFonts w:eastAsia="宋体"/>
        </w:rPr>
        <w:t>H stands is new / doesn’t show in the plot; what is the statistical test for outliers in proportions?</w:t>
      </w:r>
    </w:p>
    <w:p>
      <w:pPr>
        <w:pStyle w:val="Normal"/>
        <w:rPr/>
      </w:pPr>
      <w:r>
        <w:rPr/>
        <w:t xml:space="preserve"> </w:t>
      </w:r>
      <w:r>
        <w:rPr/>
        <w:t xml:space="preserve">(Figure </w:t>
      </w:r>
      <w:r>
        <w:rPr>
          <w:rFonts w:hint="eastAsia"/>
        </w:rPr>
        <w:t>4a</w:t>
      </w:r>
      <w:r>
        <w:rPr/>
        <w:t xml:space="preserve">). The novel signatures identified by mSigHdp generally exhibited activity in fewer cancer types compared to established COSMIC signatures, with the exception of ID_A and ID_B, which were prevalent across a wide range of cancers (Figure </w:t>
      </w:r>
      <w:r>
        <w:rPr>
          <w:rFonts w:hint="eastAsia"/>
        </w:rPr>
        <w:t>4b</w:t>
      </w:r>
      <w:r>
        <w:rPr/>
        <w:t xml:space="preserve">). </w:t>
        <w:softHyphen/>
      </w:r>
      <w:r>
        <w:rPr>
          <w:shd w:fill="FFFF00" w:val="clear"/>
        </w:rPr>
        <w:t>&lt;</w:t>
      </w:r>
      <w:commentRangeStart w:id="4"/>
      <w:r>
        <w:rPr>
          <w:shd w:fill="FFFF00" w:val="clear"/>
        </w:rPr>
        <w:t>Maybe say B is clock-like</w:t>
      </w:r>
      <w:r>
        <w:rPr>
          <w:shd w:fill="FFFF00" w:val="clear"/>
        </w:rPr>
      </w:r>
      <w:commentRangeEnd w:id="4"/>
      <w:r>
        <w:commentReference w:id="4"/>
      </w:r>
      <w:r>
        <w:rPr>
          <w:shd w:fill="FFFF00" w:val="clear"/>
        </w:rPr>
        <w:t>&gt;</w:t>
      </w:r>
    </w:p>
    <w:p>
      <w:pPr>
        <w:pStyle w:val="Normal"/>
        <w:rPr/>
      </w:pPr>
      <w:commentRangeStart w:id="5"/>
      <w:r>
        <w:rPr>
          <w:shd w:fill="FFFF00" w:val="clear"/>
        </w:rPr>
        <w:t>&lt;need to show this&gt; 8</w:t>
      </w:r>
      <w:r>
        <w:rPr/>
        <w:t xml:space="preserve">9-type signature assignments revealed strong concordance with the 83-type signatures when a one-to-one mapping was present. </w:t>
      </w:r>
      <w:r>
        <w:rPr/>
      </w:r>
      <w:commentRangeEnd w:id="5"/>
      <w:r>
        <w:commentReference w:id="5"/>
      </w:r>
      <w:r>
        <w:rPr/>
        <w:t xml:space="preserve">When an 83-type signature was represented by multiple 89-type signatures (e.g., C_ID1 was captured by InsDel1a, InsDel1b, InsDel1c, and InsDel1d), </w:t>
      </w:r>
      <w:r>
        <w:rPr>
          <w:shd w:fill="FFFF00" w:val="clear"/>
        </w:rPr>
        <w:t xml:space="preserve">&lt;this needs to be updated&gt; </w:t>
      </w:r>
      <w:r>
        <w:rPr/>
        <w:t>these split signatures often displayed cancer type-specific activity. For example, while C_ID1 and C_ID2 were detected across nearly all cancer types, InsDel1a was most prevalent in colon, prostate, and uterine cancers, whereas InsDel1c was enriched in biliary, CNS, lymphoid, and pancreatic cancers. Similarly, InsDel2a was most active in colon, esophagus, lymphoid, stomach, and uterine cancers, while InsDel2b was more enriched in myeloid malignancies</w:t>
      </w:r>
      <w:r>
        <w:rPr>
          <w:rFonts w:hint="eastAsia"/>
        </w:rPr>
        <w:t xml:space="preserve"> (</w:t>
      </w:r>
      <w:r>
        <w:rPr/>
        <w:t xml:space="preserve">Figure </w:t>
      </w:r>
      <w:r>
        <w:rPr>
          <w:rFonts w:hint="eastAsia"/>
        </w:rPr>
        <w:t>4a</w:t>
      </w:r>
      <w:r>
        <w:rPr/>
        <w:t>).</w:t>
      </w:r>
    </w:p>
    <w:p>
      <w:pPr>
        <w:pStyle w:val="Heading3"/>
        <w:numPr>
          <w:ilvl w:val="0"/>
          <w:numId w:val="0"/>
        </w:numPr>
        <w:ind w:hanging="0" w:start="0"/>
        <w:rPr>
          <w:i/>
          <w:iCs/>
          <w:sz w:val="24"/>
          <w:szCs w:val="24"/>
        </w:rPr>
      </w:pPr>
      <w:r>
        <w:rPr>
          <w:i/>
          <w:iCs/>
          <w:sz w:val="24"/>
          <w:szCs w:val="24"/>
        </w:rPr>
        <w:t>Associations between indel signatures and SBS signatures</w:t>
      </w:r>
    </w:p>
    <w:p>
      <w:pPr>
        <w:pStyle w:val="Normal"/>
        <w:rPr/>
      </w:pPr>
      <w:r>
        <w:rPr>
          <w:shd w:fill="FFFF00" w:val="clear"/>
        </w:rPr>
        <w:t xml:space="preserve">&lt;Call out the ones indicated in the figure&gt; </w:t>
      </w:r>
      <w:r>
        <w:rPr/>
        <w:t xml:space="preserve">We further analyzed the correlations between our </w:t>
      </w:r>
      <w:r>
        <w:rPr>
          <w:rFonts w:hint="eastAsia"/>
        </w:rPr>
        <w:t>Indel</w:t>
      </w:r>
      <w:r>
        <w:rPr/>
        <w:t xml:space="preserve"> signature activities and SBS signature activities from Degasperi et al. in both PCAWG and HMF samples (Table S</w:t>
      </w:r>
      <w:r>
        <w:rPr>
          <w:rFonts w:hint="eastAsia"/>
        </w:rPr>
        <w:t>2&amp;S3</w:t>
      </w:r>
      <w:r>
        <w:rPr/>
        <w:t xml:space="preserve">). </w:t>
      </w:r>
      <w:r>
        <w:rPr>
          <w:shd w:fill="FFFF00" w:val="clear"/>
        </w:rPr>
        <w:t xml:space="preserve">&lt;We need to show this&gt; </w:t>
      </w:r>
      <w:r>
        <w:rPr/>
        <w:t xml:space="preserve">Correlation analysis revealed that 89-type signatures can distinguish more nuanced mutational processes—showing distinct correlation patterns </w:t>
      </w:r>
      <w:r>
        <w:rPr>
          <w:rFonts w:hint="eastAsia"/>
        </w:rPr>
        <w:t>with SBS signatures</w:t>
      </w:r>
      <w:r>
        <w:rPr/>
        <w:t>—highlighting the greater resolution and specificity provided by the 89-type taxonomy compared to the 83-type classification scheme. Unsupervised hierarchical clustering (see Methods) grouped mutational signatures into distinct biological modules. The APOBEC cluster (SBS2 and SBS13) showed moderate correlations with InsDel_Aβ and InsDel5b. The homologous recombination deficiency (dHR) cluster (SBS3 and SBS8) exhibited strong associations with C_ID6 and InsDel6 (Figure 5, “HR defects”). UV exposure-related signatures (SBS7a, C_ID13, and InsDel13) also formed a distinct group. The “</w:t>
      </w:r>
      <w:r>
        <w:rPr>
          <w:rFonts w:hint="eastAsia"/>
        </w:rPr>
        <w:t>Liver</w:t>
      </w:r>
      <w:r>
        <w:rPr/>
        <w:t>” cluster highlights that Hx_ID25/ID_B and InsDel5b, two signatures with clock-like mutational patterns, likely represent a clock-like process in liver cancer, as they show strong correlations with SBS12 and SBS16, which are both commonly observed in liver tumors.</w:t>
      </w:r>
      <w:r>
        <w:rPr>
          <w:rFonts w:hint="eastAsia"/>
        </w:rPr>
        <w:t xml:space="preserve"> </w:t>
      </w:r>
      <w:r>
        <w:rPr/>
        <w:t xml:space="preserve">Notably, a strong correlation network was observed among mismatch repair (MMR) deficiency signatures, specifically linking SBS6, SBS26, SBS44, and a range of indel signatures including C_ID2, InsDel2b, InsDel2c, C_ID7, </w:t>
      </w:r>
      <w:r>
        <w:rPr>
          <w:shd w:fill="FFFF00" w:val="clear"/>
        </w:rPr>
        <w:t>ID_J</w:t>
      </w:r>
      <w:r>
        <w:rPr/>
        <w:t xml:space="preserve">, </w:t>
      </w:r>
      <w:r>
        <w:rPr>
          <w:shd w:fill="FFFF00" w:val="clear"/>
        </w:rPr>
        <w:t>InsDelx33&lt;fix&gt;&lt;fix&gt;</w:t>
      </w:r>
      <w:r>
        <w:rPr/>
        <w:t xml:space="preserve">, Hx_ID34/ID_K, </w:t>
      </w:r>
      <w:r>
        <w:rPr>
          <w:shd w:fill="FFFF00" w:val="clear"/>
        </w:rPr>
        <w:t>Hx_ID37/ID_N</w:t>
      </w:r>
      <w:r>
        <w:rPr/>
        <w:t>, Hx_ID38/ID_O, and InsDelx38/InsDel_O (Figure 5, “MMR defects”).</w:t>
      </w:r>
      <w:r>
        <w:rPr>
          <w:rFonts w:hint="eastAsia"/>
        </w:rPr>
        <w:t xml:space="preserve"> </w:t>
      </w:r>
      <w:r>
        <w:rPr/>
        <w:t xml:space="preserve">The 89-type taxonomy provided finer resolution of mutational processes. The four 89-type signatures derived from C_ID1—InsDel1a to InsDel1d—exhibited distinct correlation patterns, illustrating the refined resolution provided by indel signature analysis. Notably, only InsDel1a closely mirrored the correlation profile of C_ID1, indicating that it most accurately recapitulates the original signature. In contrast, InsDel1b frequently co-occurred with gastrointestinal-associated signatures such as SBS88, SBS17, and SBS93 within the “GI-ROS” </w:t>
      </w:r>
      <w:r>
        <w:rPr>
          <w:rFonts w:hint="eastAsia"/>
        </w:rPr>
        <w:t>(</w:t>
      </w:r>
      <w:r>
        <w:rPr/>
        <w:t>“Gastrointestinal</w:t>
      </w:r>
      <w:r>
        <w:rPr>
          <w:rFonts w:hint="eastAsia"/>
        </w:rPr>
        <w:t>-</w:t>
      </w:r>
      <w:r>
        <w:rPr/>
        <w:t>Reactive Oxygen Species</w:t>
      </w:r>
      <w:r>
        <w:rPr>
          <w:rFonts w:hint="eastAsia"/>
        </w:rPr>
        <w:t xml:space="preserve">) </w:t>
      </w:r>
      <w:r>
        <w:rPr/>
        <w:t xml:space="preserve">cluster, while InsDel1c was more specifically associated with SBS44. InsDel1d showed moderate correlations with SBS9, SBS17, and SBS28, which are </w:t>
      </w:r>
      <w:r>
        <w:rPr>
          <w:rFonts w:hint="eastAsia"/>
        </w:rPr>
        <w:t xml:space="preserve">predominantly </w:t>
      </w:r>
      <w:r>
        <w:rPr/>
        <w:t>characterized by T&gt;C and T&gt;G substitutions.</w:t>
      </w:r>
    </w:p>
    <w:p>
      <w:pPr>
        <w:pStyle w:val="Normal"/>
        <w:rPr/>
      </w:pPr>
      <w:r>
        <w:rPr/>
        <w:t>These correlation profiles also offer insights into the potential etiologies of previously uncharacterized SBS signatures. For example, SBS92 demonstrated a correlation profile highly similar to SBS4, particularly through strong associations with C_ID3 and InsDel3, suggesting a possible link to tobacco smoking (Figure 5, “Lung Tobacco Smoking”). Within the GI-ROS cluster—encompassing signatures prevalent in gastrointestinal tumors such as SBS17, SBS18 (ROS), SBS1 (5-mC deamination</w:t>
      </w:r>
      <w:r>
        <w:rPr>
          <w:rFonts w:hint="eastAsia"/>
        </w:rPr>
        <w:t xml:space="preserve"> which can be partially induced by ROS</w:t>
      </w:r>
      <w:r>
        <w:rPr/>
        <w:t>), SBS88 (colibactin exposure), and SBS93—we found that C_ID14, C_ID18, InsDel18, and ID_D are more strongly correlated with signatures frequently observed in the GI tract. In contrast, C_ID1, C_ID2, and InsDel2a showed stronger correlations with SBS1 and SBS17, indicative of ROS-associated mutagenic processes (Figure 5, “GI-ROS”).</w:t>
      </w:r>
    </w:p>
    <w:p>
      <w:pPr>
        <w:pStyle w:val="Heading2"/>
        <w:rPr/>
      </w:pPr>
      <w:r>
        <w:rPr>
          <w:rFonts w:hint="eastAsia"/>
        </w:rPr>
        <w:t>Topography of indel mutational signatures</w:t>
      </w:r>
    </w:p>
    <w:p>
      <w:pPr>
        <w:pStyle w:val="Normal"/>
        <w:rPr/>
      </w:pPr>
      <w:r>
        <w:rPr/>
        <w:t>Interesting – ID_K lagging strand enrichment related to POLE</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 xml:space="preserve">Transcription strand asymmetries were shown in 17 out of 33 83-type signatures (Figures </w:t>
      </w:r>
      <w:r>
        <w:rPr>
          <w:rFonts w:hint="eastAsia"/>
        </w:rPr>
        <w:t>6A and S4C</w:t>
      </w:r>
      <w:r>
        <w:rPr/>
        <w:t xml:space="preserve">, Table </w:t>
      </w:r>
      <w:r>
        <w:rPr>
          <w:rFonts w:hint="eastAsia"/>
        </w:rPr>
        <w:t>S4</w:t>
      </w:r>
      <w:r>
        <w:rPr/>
        <w:t>). Signatures attributed to exogenous mutational processes, such as C_ID3 (tobacco smoking exposure),</w:t>
      </w:r>
      <w:commentRangeStart w:id="6"/>
      <w:r>
        <w:rPr/>
        <w:t xml:space="preserve"> C_ID14 (</w:t>
      </w:r>
      <w:r>
        <w:rPr>
          <w:rFonts w:hint="eastAsia"/>
        </w:rPr>
        <w:t>SBS93 correlated, likely due to smoking exposure</w:t>
      </w:r>
      <w:r>
        <w:rPr/>
        <w:t>)</w:t>
      </w:r>
      <w:r>
        <w:rPr/>
      </w:r>
      <w:commentRangeEnd w:id="6"/>
      <w:r>
        <w:commentReference w:id="6"/>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was observed for C_ID1 (slippage during DNA replication) and C_ID5 (clock-like signature), while enriched mutations on the transcribed strand was observed for </w:t>
      </w:r>
      <w:r>
        <w:rPr>
          <w:rFonts w:eastAsia="宋体" w:hint="eastAsia"/>
          <w:shd w:fill="FFFF00" w:val="clear"/>
        </w:rPr>
        <w:t>ID_F</w:t>
      </w:r>
      <w:r>
        <w:rPr>
          <w:shd w:fill="FFFF00" w:val="clear"/>
        </w:rPr>
        <w:t xml:space="preserve"> (TOP1-mediated mutagenesis). Interestingly, 3 defective MMR signatures also showed tran</w:t>
      </w:r>
      <w:r>
        <w:rPr/>
        <w:t xml:space="preserve">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hint="eastAsia"/>
        </w:rPr>
        <w:t>6B &amp; S4B</w:t>
      </w:r>
      <w:r>
        <w:rPr/>
        <w:t xml:space="preserve">, Table </w:t>
      </w:r>
      <w:r>
        <w:rPr>
          <w:rFonts w:hint="eastAsia"/>
        </w:rPr>
        <w:t>S4</w:t>
      </w:r>
      <w:r>
        <w:rP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rPr/>
        <w:t xml:space="preserve"> on the leading strand (</w:t>
      </w:r>
      <w:r>
        <w:rPr>
          <w:rFonts w:eastAsia="宋体" w:hint="eastAsia"/>
        </w:rPr>
        <w:t>ID_K</w:t>
      </w:r>
      <w:r>
        <w:rPr/>
        <w:t xml:space="preserve">) or on the lagging strand (C_ID7 and </w:t>
      </w:r>
      <w:r>
        <w:rPr>
          <w:rFonts w:eastAsia="宋体" w:hint="eastAsia"/>
        </w:rPr>
        <w:t>ID_N</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hint="eastAsia"/>
        </w:rPr>
        <w:t>6C)</w:t>
      </w:r>
      <w:r>
        <w:rPr/>
        <w:t xml:space="preserve">. Among the 6 signatures, 5 of them were associated with defective endogenous mutational processes, including </w:t>
      </w:r>
      <w:r>
        <w:rPr>
          <w:rFonts w:hint="eastAsia"/>
        </w:rPr>
        <w:t>C_ID8</w:t>
      </w:r>
      <w:r>
        <w:rPr/>
        <w:t xml:space="preserve"> (Repair of DNA double strand breaks by NHEJ), C_ID17(TOP2A K743N mediated mutagenesis), </w:t>
      </w:r>
      <w:r>
        <w:rPr>
          <w:rFonts w:eastAsia="宋体" w:hint="eastAsia"/>
        </w:rPr>
        <w:t xml:space="preserve">ID_F </w:t>
      </w:r>
      <w:r>
        <w:rPr/>
        <w:t xml:space="preserve">(TOP1-mediated mutagenesis) </w:t>
      </w:r>
      <w:r>
        <w:rPr>
          <w:rFonts w:hint="eastAsia"/>
        </w:rPr>
        <w:t>a</w:t>
      </w:r>
      <w:r>
        <w:rPr/>
        <w:t xml:space="preserve">nd ID_L (defective MMR). Another 2 signatures with mutation enriched in genic regions were of unknown etiology (C_ID4, </w:t>
      </w:r>
      <w:r>
        <w:rPr>
          <w:rFonts w:eastAsia="宋体" w:hint="eastAsia"/>
        </w:rPr>
        <w:t>ID_</w:t>
      </w:r>
      <w:r>
        <w:rPr>
          <w:rFonts w:eastAsia="宋体"/>
        </w:rPr>
        <w:t>E</w:t>
      </w:r>
      <w:r>
        <w:rPr/>
        <w:t>).</w:t>
      </w:r>
    </w:p>
    <w:p>
      <w:pPr>
        <w:pStyle w:val="Normal"/>
        <w:rPr/>
      </w:pPr>
      <w:r>
        <w:rPr/>
        <w:t>The effect of DNA replication timing was also observed in many 83-type signatures</w:t>
      </w:r>
      <w:r>
        <w:rPr>
          <w:rFonts w:hint="eastAsia"/>
        </w:rPr>
        <w:t xml:space="preserve"> (Figure 6D &amp; S5</w:t>
      </w:r>
      <w:r>
        <w:rPr/>
        <w:t>, Table S-topo-2</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Several signatures showed cancer-specific enrichment in replication timing, including </w:t>
      </w:r>
      <w:r>
        <w:rPr>
          <w:rFonts w:hint="eastAsia"/>
        </w:rPr>
        <w:t>C_ID8</w:t>
      </w:r>
      <w:r>
        <w:rPr/>
        <w:t xml:space="preserve"> (Repair of DNA double strand breaks by NHEJ) and ID_F (TOP1-mediated mutagenesis) .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(Figure S-topo-ID89, Table S-topo-3).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been incorporated into genomic DNA, which sets the stage for topoisomerase-1 (TOP1) associated mutagenesis. This was previously thought to generate indel signature ID4 </w:t>
      </w:r>
      <w:bookmarkStart w:id="17" w:name="ZOTERO_BREF_xeDB1zkV4c3y"/>
      <w:r>
        <w:rPr/>
        <w:t>(Jin et al. 2024a; Reijns et al. 2022; Koh et al. 2025)</w:t>
      </w:r>
      <w:bookmarkEnd w:id="17"/>
      <w:r>
        <w:rPr/>
        <w:t xml:space="preserve">. However, we detected a new indel signature, InsDel_F, which better corresponds to RNase H2 deficiency experimental data than ID4 </w:t>
      </w:r>
      <w:r>
        <w:rPr>
          <w:shd w:fill="FFFF00" w:val="clear"/>
        </w:rPr>
        <w:t>(Figure or Supplementary Figure Fvs4)</w:t>
      </w:r>
      <w:r>
        <w:rPr/>
        <w:t xml:space="preserve">. The profile of deletions of </w:t>
      </w:r>
      <w:r>
        <w:rPr>
          <w:rFonts w:eastAsia="Liberation Serif" w:cs="Liberation Serif" w:ascii="Liberation Serif" w:hAnsi="Liberation Serif"/>
        </w:rPr>
        <w:t>≥</w:t>
      </w:r>
      <w:r>
        <w:rP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Normal"/>
        <w:ind w:hanging="0"/>
        <w:rPr>
          <w:color w:val="000000"/>
          <w:shd w:fill="FFFF00" w:val="clear"/>
        </w:rPr>
      </w:pPr>
      <w:r>
        <w:rPr>
          <w:color w:val="000000"/>
          <w:shd w:fill="FFFF00" w:val="clear"/>
        </w:rPr>
        <w:t>NOVEL SIGNATURES MAYBE JUST A TABLE</w:t>
      </w:r>
    </w:p>
    <w:p>
      <w:pPr>
        <w:pStyle w:val="Heading2"/>
        <w:rPr>
          <w:rFonts w:eastAsia="宋体"/>
        </w:rPr>
      </w:pPr>
      <w:commentRangeStart w:id="7"/>
      <w:r>
        <w:rPr/>
        <w:t>Functional and Demographic Associations  &lt;was here, removed to separate doc functional_and_demographic.docx&gt; Are we keeping sex differences?</w:t>
      </w:r>
      <w:commentRangeEnd w:id="7"/>
      <w:r>
        <w:commentReference w:id="7"/>
      </w:r>
      <w:r>
        <w:rPr/>
      </w:r>
    </w:p>
    <w:p>
      <w:pPr>
        <w:pStyle w:val="Normal"/>
        <w:rPr>
          <w:rFonts w:eastAsia="宋体"/>
        </w:rPr>
      </w:pPr>
      <w:r>
        <w:rPr>
          <w:rFonts w:eastAsia="宋体"/>
        </w:rPr>
      </w:r>
    </w:p>
    <w:p>
      <w:pPr>
        <w:pStyle w:val="Normal"/>
        <w:rPr>
          <w:rFonts w:eastAsia="宋体"/>
        </w:rPr>
      </w:pPr>
      <w:r>
        <w:rPr>
          <w:rFonts w:eastAsia="宋体"/>
        </w:rPr>
      </w:r>
    </w:p>
    <w:p>
      <w:pPr>
        <w:pStyle w:val="Normal"/>
        <w:rPr>
          <w:rFonts w:eastAsia="宋体"/>
        </w:rPr>
      </w:pPr>
      <w:commentRangeStart w:id="8"/>
      <w:r>
        <w:rPr>
          <w:rFonts w:eastAsia="宋体"/>
        </w:rPr>
        <w:t xml:space="preserve">To investigate the </w:t>
      </w:r>
      <w:r>
        <w:rPr>
          <w:rFonts w:eastAsia="宋体" w:hint="eastAsia"/>
        </w:rPr>
        <w:t>gender bias</w:t>
      </w:r>
      <w:r>
        <w:rPr>
          <w:rFonts w:eastAsia="宋体"/>
        </w:rPr>
        <w:t xml:space="preserve"> of mutational processes, we systematically compared signature activities between sexes using two-sided Fisher’s exact tests. After Benjamini–Hochberg correction (q &lt; 0.2), we identified nine gender-biased associations that reveal a distinct polarity between tumor types. Male-skewed processes were predominant in lung, liver, and "Other" tumor categories. Specifically, lung cancer exhibited significant male enrichment in InsDel3b (OR = 0.367, q = 0.061) and C_ID3 (OR = 0.397, q = 0.188)</w:t>
      </w:r>
      <w:r>
        <w:rPr>
          <w:rFonts w:eastAsia="宋体" w:hint="eastAsia"/>
        </w:rPr>
        <w:t xml:space="preserve">. </w:t>
      </w:r>
      <w:r>
        <w:rPr>
          <w:rFonts w:eastAsia="宋体"/>
        </w:rPr>
        <w:t>Given the established association of these signatures with tobacco consumption, this enrichment likely reflects higher smoking-related mutagenic burdens in the male coho</w:t>
      </w:r>
      <w:r>
        <w:rPr>
          <w:rFonts w:eastAsia="宋体" w:hint="eastAsia"/>
        </w:rPr>
        <w:t>rt. In</w:t>
      </w:r>
      <w:r>
        <w:rPr>
          <w:rFonts w:eastAsia="宋体"/>
        </w:rPr>
        <w:t xml:space="preserve"> liver cancer</w:t>
      </w:r>
      <w:r>
        <w:rPr>
          <w:rFonts w:eastAsia="宋体" w:hint="eastAsia"/>
        </w:rPr>
        <w:t>,</w:t>
      </w:r>
      <w:r>
        <w:rPr>
          <w:rFonts w:eastAsia="宋体"/>
        </w:rPr>
        <w:t xml:space="preserve"> a similar trend </w:t>
      </w:r>
      <w:r>
        <w:rPr>
          <w:rFonts w:eastAsia="宋体" w:hint="eastAsia"/>
        </w:rPr>
        <w:t xml:space="preserve">was observed </w:t>
      </w:r>
      <w:r>
        <w:rPr>
          <w:rFonts w:eastAsia="宋体"/>
        </w:rPr>
        <w:t xml:space="preserve">for InsDel5a </w:t>
      </w:r>
      <w:r>
        <w:rPr>
          <w:rFonts w:eastAsia="宋体" w:hint="eastAsia"/>
        </w:rPr>
        <w:t>(</w:t>
      </w:r>
      <w:r>
        <w:rPr>
          <w:rFonts w:eastAsia="宋体"/>
        </w:rPr>
        <w:t>OR = 0.481, q = 0.118</w:t>
      </w:r>
      <w:r>
        <w:rPr>
          <w:rFonts w:eastAsia="宋体" w:hint="eastAsia"/>
        </w:rPr>
        <w:t>, clock-like</w:t>
      </w:r>
      <w:r>
        <w:rPr>
          <w:rFonts w:eastAsia="宋体"/>
        </w:rPr>
        <w:t>)</w:t>
      </w:r>
      <w:r>
        <w:rPr>
          <w:rFonts w:eastAsia="宋体" w:hint="eastAsia"/>
        </w:rPr>
        <w:t xml:space="preserve"> and </w:t>
      </w:r>
      <w:r>
        <w:rPr>
          <w:rFonts w:eastAsia="宋体"/>
        </w:rPr>
        <w:t>InsDel8</w:t>
      </w:r>
      <w:r>
        <w:rPr>
          <w:rFonts w:eastAsia="宋体" w:hint="eastAsia"/>
        </w:rPr>
        <w:t>/C_ID8</w:t>
      </w:r>
      <w:r>
        <w:rPr>
          <w:rFonts w:eastAsia="宋体"/>
        </w:rPr>
        <w:t xml:space="preserve"> (R = 0.271, q = 0.184</w:t>
      </w:r>
      <w:r>
        <w:rPr>
          <w:rFonts w:eastAsia="宋体" w:hint="eastAsia"/>
        </w:rPr>
        <w:t xml:space="preserve">, DSB repair by NHEJ and age associated </w:t>
      </w:r>
      <w:r>
        <w:rPr>
          <w:rFonts w:eastAsia="宋体"/>
        </w:rPr>
        <w:t>). This male-biased pattern extended to the "Other" category via C_ID19 (OR = 0.424, q = 0.188</w:t>
      </w:r>
      <w:r>
        <w:rPr>
          <w:rFonts w:eastAsia="宋体" w:hint="eastAsia"/>
        </w:rPr>
        <w:t>)</w:t>
      </w:r>
      <w:r>
        <w:rPr>
          <w:rFonts w:eastAsia="宋体"/>
        </w:rPr>
        <w:t xml:space="preserve"> and InsDel19b (OR = 0.448, q = 0.197). Conversely, female-biased signatures were occurred </w:t>
      </w:r>
      <w:r>
        <w:rPr>
          <w:rFonts w:eastAsia="宋体" w:hint="eastAsia"/>
        </w:rPr>
        <w:t>in</w:t>
      </w:r>
      <w:r>
        <w:rPr>
          <w:rFonts w:eastAsia="宋体"/>
        </w:rPr>
        <w:t xml:space="preserve"> esophageal and lymphoid malignancies. The magnitude of these associations was most pronounced in esophageal cancer for InsDel1a (OR = 3.85, q = 0.061) and C_ID1 (OR = 3.22, q = 0.188), alongside InsDel1c (OR = 2.63, q = 0.194) in lymphoid cancers. These results delineate a sex-stratified landscape of mutational etiology, suggesting that the underlying biological mechanisms driving genome instability are fundamentally influenced by gender.</w:t>
      </w:r>
      <w:commentRangeEnd w:id="8"/>
      <w:r>
        <w:commentReference w:id="8"/>
      </w:r>
      <w:r>
        <w:rPr>
          <w:rFonts w:eastAsia="宋体"/>
        </w:rPr>
      </w:r>
    </w:p>
    <w:p>
      <w:pPr>
        <w:pStyle w:val="Normal"/>
        <w:rPr>
          <w:rFonts w:eastAsia="宋体"/>
        </w:rPr>
      </w:pPr>
      <w:r>
        <w:rPr>
          <w:rFonts w:eastAsia="宋体"/>
        </w:rPr>
        <w:t>.</w:t>
      </w:r>
    </w:p>
    <w:p>
      <w:pPr>
        <w:pStyle w:val="Normal"/>
        <w:rPr>
          <w:rFonts w:eastAsia="宋体"/>
        </w:rPr>
      </w:pPr>
      <w:r>
        <w:rPr>
          <w:rFonts w:eastAsia="宋体"/>
        </w:rPr>
      </w:r>
    </w:p>
    <w:p>
      <w:pPr>
        <w:pStyle w:val="Normal"/>
        <w:rPr>
          <w:rFonts w:eastAsia="宋体" w:hint="eastAsia"/>
        </w:rPr>
      </w:pPr>
      <w:r>
        <w:rPr>
          <w:rFonts w:eastAsia="宋体" w:hint="eastAsia"/>
        </w:rPr>
      </w:r>
    </w:p>
    <w:p>
      <w:pPr>
        <w:pStyle w:val="Heading1"/>
        <w:rPr/>
      </w:pPr>
      <w:r>
        <w:rPr/>
        <w:t>Discussion</w:t>
      </w:r>
    </w:p>
    <w:p>
      <w:pPr>
        <w:pStyle w:val="Normal"/>
        <w:rPr/>
      </w:pPr>
      <w:r>
        <w:rPr/>
        <w:t xml:space="preserve">Leveraging a novel nonparametric Bayesian framework, we conducted mutational signature analysis on over </w:t>
      </w:r>
      <w:r>
        <w:rPr>
          <w:rFonts w:hint="eastAsia"/>
        </w:rPr>
        <w:t>6,975</w:t>
      </w:r>
      <w:r>
        <w:rPr/>
        <w:t xml:space="preserve"> whole-genome tumor samples spanning 25 cancer types from the PCAWG and HMF cohorts. As the first study to apply both the 83-type and 89-type taxonomies to such a large dataset, we established a comprehensive catalog of 33 83-type and 41 89-type signatures, alongside a unified mapping system to facilitate cross-referencing of signatures between the two classifications. Notably, we discovered two novel indel signatures (Hx_ID29/ID_F and InsDelx29/InsDel_F) associated with TOP1-TAM, and validated their biological relevance using both CRISPR/Cas9-mediated RNASEH2B knockout cell models and published data from RNaseH2-deficient systems. Additionally, we identified several indel signatures—four 83-type and six 89-type—strongly associated with microsatellite instability (MSI), further elucidating the mutational footprints of defective MMR processes.</w:t>
      </w:r>
    </w:p>
    <w:p>
      <w:pPr>
        <w:pStyle w:val="Normal"/>
        <w:rPr/>
      </w:pPr>
      <w:r>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hint="eastAsia"/>
        </w:rPr>
        <w:t xml:space="preserve">The study reported a 37 InDel signature database sourced from 4,775 genomes across 7 cancer types. </w:t>
      </w:r>
      <w:r>
        <w:rPr/>
        <w:t>However, challenges remain in connecting the nomenclature of 89-type signatures to the established 83-type signatures. For instance, COSMIC ID5 is recognized as a clock-like signature, whereas Koh et al.'s InD5 likely reflects a sequencing artifact. By analyzing a larger and more diverse cancer genome cohort, we not only expanded the existing signature database but also systematically linked and unified the naming conventions of the 83-type and 89-type signatures. This unified framework will support more consistent interpretation and application of indel mutational signatures</w:t>
      </w:r>
      <w:r>
        <w:rPr>
          <w:rFonts w:hint="eastAsia"/>
        </w:rPr>
        <w:t xml:space="preserve"> (Vignette).</w:t>
      </w:r>
    </w:p>
    <w:p>
      <w:pPr>
        <w:pStyle w:val="Normal"/>
        <w:rPr/>
      </w:pPr>
      <w:r>
        <w:rPr/>
        <w:t>The identification of novel mutational signatures often poses challenges in linking them to specific mutational processes, a complexity exacerbated by the diverse mutational landscapes observed across pan-cancer datasets. By integrating additional data into mutational signature analysis, we anticipate uncovering further signatures that more comprehensively characterize genomic mutational processes.</w:t>
      </w:r>
      <w:r>
        <w:rPr>
          <w:rFonts w:hint="eastAsia"/>
        </w:rPr>
        <w:t xml:space="preserve"> </w:t>
      </w:r>
      <w:r>
        <w:rPr/>
        <w:t>Furthermore, we expect the development of mutational signatures as clinical biomarkers to enhance cancer diagnosis and treatment strategies.</w:t>
      </w:r>
      <w:bookmarkEnd w:id="0"/>
    </w:p>
    <w:p>
      <w:pPr>
        <w:pStyle w:val="Heading1"/>
        <w:rPr/>
      </w:pPr>
      <w:r>
        <w:rPr/>
        <w:t>Materials and methods</w:t>
      </w:r>
    </w:p>
    <w:p>
      <w:pPr>
        <w:pStyle w:val="Heading2"/>
        <w:rPr/>
      </w:pPr>
      <w:r>
        <w:rPr/>
        <w:t>Data sources</w:t>
      </w:r>
    </w:p>
    <w:p>
      <w:pPr>
        <w:pStyle w:val="Normal"/>
        <w:ind w:firstLineChars="200"/>
        <w:rPr/>
      </w:pPr>
      <w:r>
        <w:rPr/>
        <w:t>Somatic indel calls from the ICGC/TCGA (International Cancer Genome Consortium/The Cancer Genome Atlas) Pan-Cancer Analysis of Whole Genomes Consortium and associated clinical characteristics were obtained from the ICGC data portal (</w:t>
      </w:r>
      <w:hyperlink r:id="rId5">
        <w:r>
          <w:rPr>
            <w:rStyle w:val="Hyperlink"/>
          </w:rPr>
          <w:t>https://dcc.icgc.org/releases/current/Projects/</w:t>
        </w:r>
      </w:hyperlink>
      <w:r>
        <w:rPr/>
        <w:t>, which has been retired. The data were downloaded on 9 May, 2024. Hartwig Medical Foundation</w:t>
      </w:r>
      <w:r>
        <w:rPr>
          <w:rFonts w:eastAsia="宋体" w:hint="eastAsia" w:eastAsiaTheme="minor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of the </w:t>
      </w:r>
      <w:r>
        <w:rPr>
          <w:rFonts w:eastAsia="宋体" w:hint="eastAsia" w:eastAsiaTheme="minorEastAsia"/>
        </w:rPr>
        <w:t>Hartwig</w:t>
      </w:r>
      <w:r>
        <w:rPr/>
        <w:t xml:space="preserve"> genomes were found from supplementary files of </w:t>
      </w:r>
      <w:r>
        <w:rPr>
          <w:color w:val="000000"/>
        </w:rPr>
        <w:t>Priestley et al., 2019.</w:t>
      </w:r>
      <w:r>
        <w:rPr/>
        <w:t xml:space="preserve"> These data was also provided in Table S</w:t>
      </w:r>
      <w:r>
        <w:rPr>
          <w:rFonts w:hint="eastAsia"/>
        </w:rPr>
        <w:t>10 &lt;OF Prieslty&gt;</w:t>
      </w:r>
      <w:r>
        <w:rPr/>
        <w:t xml:space="preserve">. The COSMIC Cancer Gene Census was used to identify known cancer driver genes </w:t>
      </w:r>
      <w:sdt>
        <w:sdtPr>
          <w:tag w:val="MENDELEY_CITATION_v3_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"/>
          <w:id w:val="91759893"/>
        </w:sdtPr>
        <w:sdtContent>
          <w:r>
            <w:rPr/>
          </w:r>
          <w:r>
            <w:rPr>
              <w:color w:val="000000"/>
            </w:rPr>
            <w:t>(Sondka et al., 2018</w:t>
          </w:r>
          <w:r>
            <w:rPr>
              <w:rFonts w:hint="eastAsia"/>
              <w:color w:val="000000"/>
            </w:rPr>
            <w:t xml:space="preserve">, downloaded from </w:t>
          </w:r>
          <w:hyperlink r:id="rId6">
            <w:r>
              <w:rPr>
                <w:rStyle w:val="Hyperlink"/>
              </w:rPr>
              <w:t>https://cancer.sanger.ac.uk/cosmic/census?tier=1</w:t>
            </w:r>
          </w:hyperlink>
          <w:r>
            <w:rPr>
              <w:rFonts w:hint="eastAsia"/>
              <w:color w:val="000000"/>
            </w:rPr>
            <w:t xml:space="preserve"> on 9 Jun, 2024</w:t>
          </w:r>
          <w:r>
            <w:rPr>
              <w:color w:val="000000"/>
            </w:rPr>
            <w:t>)</w:t>
          </w:r>
        </w:sdtContent>
      </w:sdt>
      <w:r>
        <w:rPr/>
        <w:t>.</w:t>
      </w:r>
    </w:p>
    <w:p>
      <w:pPr>
        <w:pStyle w:val="Heading2"/>
        <w:rPr/>
      </w:pPr>
      <w:r>
        <w:rPr>
          <w:rFonts w:hint="eastAsia"/>
        </w:rPr>
        <w:t xml:space="preserve">De novo </w:t>
      </w:r>
      <w:r>
        <w:rPr/>
        <w:t>Mutational signature extraction</w:t>
      </w:r>
    </w:p>
    <w:p>
      <w:pPr>
        <w:pStyle w:val="Normal"/>
        <w:ind w:firstLineChars="200"/>
        <w:rPr>
          <w:rFonts w:eastAsia="宋体" w:eastAsiaTheme="minorEastAsia"/>
        </w:rPr>
      </w:pPr>
      <w:r>
        <w:rPr>
          <w:rFonts w:eastAsia="宋体" w:eastAsiaTheme="minorEastAsia"/>
          <w:i/>
          <w:iCs/>
        </w:rPr>
        <w:t>De novo</w:t>
      </w:r>
      <w:r>
        <w:rPr>
          <w:rFonts w:eastAsia="宋体" w:eastAsiaTheme="minorEastAsia"/>
        </w:rPr>
        <w:t xml:space="preserve"> mutational signature extraction was performed using two complementary tools applied to the 83</w:t>
        <w:noBreakHyphen/>
        <w:t>type, 89</w:t>
        <w:noBreakHyphen/>
        <w:t>type, and 476</w:t>
        <w:noBreakHyphen/>
        <w:t>type mutational spectra.</w:t>
      </w:r>
    </w:p>
    <w:p>
      <w:pPr>
        <w:pStyle w:val="Normal"/>
        <w:ind w:firstLineChars="200"/>
        <w:rPr>
          <w:rFonts w:eastAsia="宋体" w:eastAsiaTheme="minorEastAsia"/>
        </w:rPr>
      </w:pPr>
      <w:r>
        <w:rPr>
          <w:rFonts w:eastAsia="宋体" w:eastAsiaTheme="minorEastAsia"/>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eastAsiaTheme="minorEastAsia"/>
        </w:rPr>
      </w:pPr>
      <w:r>
        <w:rPr>
          <w:rFonts w:eastAsia="宋体" w:eastAsiaTheme="minorEastAsia"/>
        </w:rPr>
        <w:t xml:space="preserve">In parallel, de novo mutational signatures were extracted using </w:t>
      </w:r>
      <w:r>
        <w:rPr>
          <w:rFonts w:eastAsia="宋体" w:hint="eastAsia" w:eastAsiaTheme="minorEastAsia"/>
        </w:rPr>
        <w:t xml:space="preserve">the Non-negative matrix factorization based approach (NMF), </w:t>
      </w:r>
      <w:r>
        <w:rPr>
          <w:rFonts w:eastAsia="宋体" w:eastAsiaTheme="minorEastAsia"/>
        </w:rPr>
        <w:t>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Signature interpretation was primarily based on the “Optimal Solution” identified by the software, although several rare signatures were identified in alternative solutions (</w:t>
      </w:r>
      <w:r>
        <w:rPr>
          <w:rFonts w:eastAsia="宋体" w:eastAsiaTheme="minorEastAsia"/>
          <w:shd w:fill="FFFF00" w:val="clear"/>
        </w:rPr>
        <w:t>Table S</w:t>
      </w:r>
      <w:r>
        <w:rPr>
          <w:rFonts w:eastAsia="宋体" w:eastAsiaTheme="minorEastAsia"/>
        </w:rPr>
        <w:t>).</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eastAsiaTheme="minorEastAsia"/>
        </w:rPr>
      </w:pPr>
      <w:r>
        <w:rPr>
          <w:rFonts w:eastAsia="宋体" w:hint="eastAsia" w:eastAsiaTheme="minorEastAsia"/>
        </w:rPr>
        <w:t xml:space="preserve">For 83-type signatures, the signatures were matched to previously identified COSMIC signatures (v3.5, </w:t>
      </w:r>
      <w:hyperlink r:id="rId7">
        <w:r>
          <w:rPr>
            <w:rStyle w:val="Hyperlink"/>
            <w:rFonts w:eastAsia="宋体" w:eastAsiaTheme="minorEastAsia"/>
          </w:rPr>
          <w:t>https://cancer.sanger.ac.uk/signatures/id/</w:t>
        </w:r>
      </w:hyperlink>
      <w:r>
        <w:rPr>
          <w:rFonts w:eastAsia="宋体" w:hint="eastAsia" w:eastAsiaTheme="minor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eastAsiaTheme="minorEastAsia"/>
        </w:rPr>
      </w:pPr>
      <w:r>
        <w:rPr/>
        <w:t xml:space="preserve">We compared all </w:t>
      </w:r>
      <w:r>
        <w:rPr>
          <w:i/>
          <w:iCs/>
        </w:rPr>
        <w:t>de novo</w:t>
      </w:r>
      <w:r>
        <w:rPr/>
        <w:t xml:space="preserve"> signatures </w:t>
      </w:r>
      <w:r>
        <w:rPr>
          <w:rFonts w:eastAsia="宋体" w:hint="eastAsia" w:eastAsiaTheme="minorEastAsia"/>
        </w:rPr>
        <w:t xml:space="preserve">supported by both mSigHdp and SigProfilerExtractor </w:t>
      </w:r>
      <w:r>
        <w:rPr/>
        <w:t xml:space="preserve">to </w:t>
      </w:r>
      <w:r>
        <w:rPr>
          <w:rFonts w:eastAsia="宋体" w:hint="eastAsia" w:eastAsiaTheme="minorEastAsia"/>
        </w:rPr>
        <w:t>the published</w:t>
      </w:r>
      <w:r>
        <w:rPr/>
        <w:t xml:space="preserve"> signatures and categorized them into three groups: (1) known signature: if</w:t>
      </w:r>
      <w:r>
        <w:rPr>
          <w:rFonts w:eastAsia="宋体" w:hint="eastAsia" w:eastAsiaTheme="minor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eastAsiaTheme="minor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eastAsiaTheme="minorEastAsia"/>
        </w:rPr>
        <w:t xml:space="preserve">extracted </w:t>
      </w:r>
      <w:r>
        <w:rPr/>
        <w:t xml:space="preserve">signatures do not fit into the known signatures or the merged signatures. </w:t>
      </w:r>
      <w:r>
        <w:rPr>
          <w:rFonts w:eastAsia="宋体" w:hint="eastAsia" w:eastAsiaTheme="minor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shd w:fill="FFFF00" w:val="clear"/>
        </w:rPr>
        <w:t xml:space="preserve">&lt;MOVED FROM RESULTS&gt; </w:t>
      </w:r>
      <w:r>
        <w:rPr>
          <w:rFonts w:eastAsia="宋体"/>
        </w:rPr>
        <w:t>T</w:t>
      </w:r>
      <w:commentRangeStart w:id="9"/>
      <w:r>
        <w:rPr>
          <w:rFonts w:eastAsia="宋体"/>
        </w:rPr>
        <w:t xml:space="preserve">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thymine insertions or deletions in at least five homopolymeric T tracts account for ≥90% of the mutations,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rPr>
      </w:r>
      <w:commentRangeEnd w:id="9"/>
      <w:r>
        <w:commentReference w:id="9"/>
      </w:r>
      <w:r>
        <w:rPr>
          <w:rFonts w:eastAsia="宋体" w:hint="eastAsia"/>
        </w:rPr>
        <w:t>.</w:t>
      </w:r>
    </w:p>
    <w:p>
      <w:pPr>
        <w:pStyle w:val="normalfirst"/>
        <w:ind w:firstLineChars="200"/>
        <w:rPr/>
      </w:pPr>
      <w:commentRangeStart w:id="10"/>
      <w:r>
        <w:rPr>
          <w:rFonts w:eastAsia="宋体" w:hint="eastAsia"/>
          <w:shd w:fill="FFFF00" w:val="clear"/>
        </w:rPr>
        <w:t xml:space="preserve">&lt;MO CHECK THIS PARA&gt; </w:t>
      </w:r>
      <w:r>
        <w:rPr/>
        <w:t>Indel signature activities for the 83</w:t>
        <w:noBreakHyphen/>
        <w:t>type and 89</w:t>
        <w:noBreakHyphen/>
        <w:t>type spectra were assigned to each sample using a two</w:t>
        <w:noBreakHyphen/>
        <w:t>step computational framework. First, we applied the find_best_reconstruction_QP function from the SigTools R package (v1.0.7), which performs fast signature attribution via quadratic programming optimization. Second, we refined these initial estimates using the PresenceAttributeSigActivity function from the mSigAct R package (v1.0.1) with default parameters.</w:t>
      </w:r>
      <w:commentRangeEnd w:id="10"/>
      <w:r>
        <w:commentReference w:id="10"/>
      </w:r>
      <w:r>
        <w:rPr/>
      </w:r>
    </w:p>
    <w:p>
      <w:pPr>
        <w:pStyle w:val="normalfirst"/>
        <w:ind w:firstLineChars="200"/>
        <w:rPr/>
      </w:pPr>
      <w:commentRangeStart w:id="11"/>
      <w:r>
        <w:rPr/>
        <w:t>The 83-type indel spectra are frequently dominated by 1</w:t>
        <w:noBreakHyphen/>
        <w:t>bp T insertions and deletions at poly</w:t>
        <w:noBreakHyphen/>
        <w:t>T tracts (≥5 consecutive T’s), which can obscure the contribution of other indel types during signature assignment. To mitigate this interference, we implemented a three</w:t>
        <w:noBreakHyphen/>
        <w:t>step deconvolution strategy:</w:t>
      </w:r>
      <w:r>
        <w:rPr>
          <w:rFonts w:hint="eastAsia"/>
        </w:rPr>
        <w:t xml:space="preserve"> </w:t>
      </w:r>
      <w:r>
        <w:rPr/>
        <w:t>(1) We constructed “ablated” spectra and an “ablated” signature matrix by removing the two poly</w:t>
        <w:noBreakHyphen/>
        <w:t>T peaks from both the observed spectrum and the reference signatures, explicitly excluding C_ID1 and C_ID2. Signature fitting was then performed on these ablated inputs using the two</w:t>
        <w:noBreakHyphen/>
        <w:t>step pipeline</w:t>
      </w:r>
      <w:r>
        <w:rPr>
          <w:rFonts w:hint="eastAsia"/>
        </w:rPr>
        <w:t xml:space="preserve"> described above</w:t>
      </w:r>
      <w:r>
        <w:rPr/>
        <w:t>, yielding activity estimates for all non</w:t>
        <w:noBreakHyphen/>
        <w:t>poly</w:t>
        <w:noBreakHyphen/>
        <w:t>T components</w:t>
      </w:r>
      <w:r>
        <w:rPr>
          <w:rFonts w:hint="eastAsia"/>
        </w:rPr>
        <w:t xml:space="preserve">; </w:t>
      </w:r>
      <w:r>
        <w:rPr/>
        <w:t>(2) Using this ablated assignment and the full (unablated) signature matrix, we reconstructed a “predicted spectrum”</w:t>
      </w:r>
      <w:r>
        <w:rPr>
          <w:rFonts w:hint="eastAsia"/>
        </w:rPr>
        <w:t xml:space="preserve">; </w:t>
      </w:r>
      <w:r>
        <w:rPr/>
        <w:t>(3) The residual</w:t>
      </w:r>
      <w:r>
        <w:rPr>
          <w:rFonts w:hint="eastAsia"/>
        </w:rPr>
        <w:t xml:space="preserve">, </w:t>
      </w:r>
      <w:r>
        <w:rPr/>
        <w:t>defined as the difference between the original observed spectrum and the “predicted spectrum”</w:t>
      </w:r>
      <w:r>
        <w:rPr>
          <w:rFonts w:hint="eastAsia"/>
        </w:rPr>
        <w:t xml:space="preserve">, </w:t>
      </w:r>
      <w:r>
        <w:rPr/>
        <w:t>was truncated at zero (i.e., all negative values were set to 0) to enforce non</w:t>
        <w:noBreakHyphen/>
        <w:t>negative contributions. Only the two poly</w:t>
        <w:noBreakHyphen/>
        <w:t>T components of this corrected residual were retained and allocated to C_ID1 and C_ID2 in proportion to their relative signature weights.</w:t>
      </w:r>
      <w:commentRangeEnd w:id="11"/>
      <w:r>
        <w:commentReference w:id="11"/>
      </w:r>
      <w:r>
        <w:rPr/>
      </w:r>
    </w:p>
    <w:p>
      <w:pPr>
        <w:pStyle w:val="normalfirst"/>
        <w:rPr/>
      </w:pPr>
      <w:r>
        <w:rPr>
          <w:rFonts w:hint="eastAsia"/>
        </w:rPr>
        <w:t xml:space="preserve"> </w:t>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8">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9">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0">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p>
    <w:p>
      <w:pPr>
        <w:pStyle w:val="Normal"/>
        <w:rPr>
          <w:i/>
        </w:rPr>
      </w:pPr>
      <w:r>
        <w:rPr>
          <w:i/>
        </w:rPr>
      </w:r>
    </w:p>
    <w:p>
      <w:pPr>
        <w:pStyle w:val="Normal"/>
        <w:rPr/>
      </w:pPr>
      <w:r>
        <w:rPr/>
      </w:r>
    </w:p>
    <w:p>
      <w:pPr>
        <w:pStyle w:val="Normal"/>
        <w:rPr/>
      </w:pPr>
      <w:r>
        <w:rPr/>
        <w:t>Odds ratio between the ratio of real somatic indels and the ratio of simulated somatic indels was calculated:</w:t>
      </w:r>
    </w:p>
    <w:p>
      <w:pPr>
        <w:pStyle w:val="Normal"/>
        <w:rPr/>
      </w:pPr>
      <w:r>
        <w:rPr/>
      </w:r>
    </w:p>
    <w:p>
      <w:pPr>
        <w:pStyle w:val="Normal"/>
        <w:rPr/>
      </w:pPr>
      <w:r>
        <w:rPr/>
        <w:t>p values were calculated for the odds ratio using Fisher’s exact test. Only strand asymmetries with p value &gt; 0.05 were considered showing strand asymmetries.</w:t>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1">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pPr>
      <w:r>
        <w:rPr/>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rPr/>
        <w:t>, X</w:t>
      </w:r>
      <w:r>
        <w:rPr>
          <w:vertAlign w:val="subscript"/>
        </w:rPr>
        <w:t>2</w:t>
      </w:r>
      <w:r>
        <w:rPr/>
        <w:t>, X</w:t>
      </w:r>
      <w:r>
        <w:rPr>
          <w:vertAlign w:val="subscript"/>
        </w:rPr>
        <w:t>3</w:t>
      </w:r>
      <w:r>
        <w:rPr/>
        <w:t>, … X</w:t>
      </w:r>
      <w:r>
        <w:rPr>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p>
    <w:p>
      <w:pPr>
        <w:pStyle w:val="Normal"/>
        <w:rPr>
          <w:shd w:fill="FFFF00" w:val="clear"/>
        </w:rPr>
      </w:pPr>
      <w:r>
        <w:rPr>
          <w:shd w:fill="FFFF00" w:val="clear"/>
        </w:rPr>
        <w:t>&lt;MISSING EQUATIONS HERE&gt;</w:t>
      </w:r>
    </w:p>
    <w:p>
      <w:pPr>
        <w:pStyle w:val="Normal"/>
        <w:rPr/>
      </w:pPr>
      <w:r>
        <w:rPr/>
      </w:r>
    </w:p>
    <w:p>
      <w:pPr>
        <w:pStyle w:val="Normal"/>
        <w:rPr/>
      </w:pPr>
      <w:r>
        <w:rPr/>
        <w:t>In the above formula, replication timing denotes a vector c(1,2,3 … 10).</w:t>
      </w:r>
    </w:p>
    <w:p>
      <w:pPr>
        <w:pStyle w:val="Normal"/>
        <w:rPr/>
      </w:pPr>
      <w:r>
        <w:rPr/>
        <w:t xml:space="preserve">The replication timing trend for </w:t>
      </w:r>
      <w:r>
        <w:rPr>
          <w:rFonts w:eastAsia="宋体" w:hint="eastAsia" w:eastAsiaTheme="minorEastAsia"/>
        </w:rPr>
        <w:t xml:space="preserve">an 83-type </w:t>
      </w:r>
      <w:r>
        <w:rPr/>
        <w:t xml:space="preserve">signature was determined for both real and simulated data. An </w:t>
      </w:r>
      <w:r>
        <w:rPr>
          <w:rFonts w:eastAsia="宋体" w:hint="eastAsia" w:eastAsiaTheme="minor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rFonts w:eastAsia="宋体"/>
        </w:rPr>
      </w:pPr>
      <w:r>
        <w:rPr/>
        <w:t xml:space="preserve">If the trends of a certain </w:t>
      </w:r>
      <w:r>
        <w:rPr>
          <w:rFonts w:eastAsia="宋体" w:hint="eastAsia" w:eastAsiaTheme="minorEastAsia"/>
        </w:rPr>
        <w:t>83-type</w:t>
      </w:r>
      <w:r>
        <w:rPr/>
        <w:t xml:space="preserve"> signature for the two dataset (real and simulated data) were different, the relative trend for real data comparing the simulated data was the final trend for the </w:t>
      </w:r>
      <w:r>
        <w:rPr>
          <w:rFonts w:eastAsia="宋体" w:hint="eastAsia" w:eastAsiaTheme="minorEastAsia"/>
        </w:rPr>
        <w:t>83-type</w:t>
      </w:r>
      <w:r>
        <w:rPr/>
        <w:t xml:space="preserve"> signature. Otherwise, if the trends of a certain </w:t>
      </w:r>
      <w:r>
        <w:rPr>
          <w:rFonts w:eastAsia="宋体" w:hint="eastAsia" w:eastAsiaTheme="minorEastAsia"/>
        </w:rPr>
        <w:t>83-type</w:t>
      </w:r>
      <w:r>
        <w:rPr/>
        <w:t xml:space="preserve"> signature for the two dataset were the same, a third multiple linear regression model was fitted. </w:t>
      </w:r>
    </w:p>
    <w:p>
      <w:pPr>
        <w:pStyle w:val="Normal"/>
        <w:rPr>
          <w:rFonts w:eastAsia="宋体"/>
        </w:rPr>
      </w:pPr>
      <w:r>
        <w:rPr>
          <w:rFonts w:eastAsia="宋体"/>
        </w:rPr>
      </w:r>
    </w:p>
    <w:p>
      <w:pPr>
        <w:pStyle w:val="Normal"/>
        <w:rPr>
          <w:rFonts w:eastAsia="宋体"/>
        </w:rPr>
      </w:pPr>
      <w:r>
        <w:rPr/>
        <w:t xml:space="preserve">Similarly, the final trend of an </w:t>
      </w:r>
      <w:r>
        <w:rPr>
          <w:rFonts w:eastAsia="宋体" w:hint="eastAsia" w:eastAsiaTheme="minorEastAsia"/>
        </w:rPr>
        <w:t>83-type</w:t>
      </w:r>
      <w:r>
        <w:rPr/>
        <w:t xml:space="preserve"> signature were determined by the significance of the coefficient of replication timing. If it is not significant, an </w:t>
      </w:r>
      <w:r>
        <w:rPr>
          <w:rFonts w:eastAsia="宋体" w:hint="eastAsia" w:eastAsiaTheme="minorEastAsia"/>
        </w:rPr>
        <w:t>83-type</w:t>
      </w:r>
      <w:r>
        <w:rPr/>
        <w:t xml:space="preserve"> signature was considered to be generally unaffected by replication timing. Otherwise, if the coefficient of replication timing &gt; 0, an </w:t>
      </w:r>
      <w:r>
        <w:rPr>
          <w:rFonts w:eastAsia="宋体" w:hint="eastAsia" w:eastAsiaTheme="minorEastAsia"/>
        </w:rPr>
        <w:t>83-type</w:t>
      </w:r>
      <w:r>
        <w:rPr/>
        <w:t xml:space="preserve"> signature was considered to be increasing from early to late replicating regions; if the coefficient of replication timing &lt; 0, an </w:t>
      </w:r>
      <w:r>
        <w:rPr>
          <w:rFonts w:eastAsia="宋体" w:hint="eastAsia" w:eastAsiaTheme="minorEastAsia"/>
        </w:rPr>
        <w:t>83-type</w:t>
      </w:r>
      <w:r>
        <w:rPr/>
        <w:t xml:space="preserve"> signature was considered to be decreasing from early to late replicating regions.</w:t>
      </w:r>
    </w:p>
    <w:p>
      <w:pPr>
        <w:pStyle w:val="Normal"/>
        <w:rPr>
          <w:rFonts w:eastAsia="宋体" w:eastAsiaTheme="minorEastAsia"/>
        </w:rPr>
      </w:pPr>
      <w:r>
        <w:rPr>
          <w:rFonts w:eastAsia="宋体" w:eastAsiaTheme="minorEastAsia"/>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eastAsiaTheme="minor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eastAsiaTheme="minor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&gt;14,000 IDs and &gt;15,000 SBSs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Province, China </w:t>
      </w:r>
      <w:r>
        <w:rPr>
          <w:rFonts w:hint="eastAsia"/>
          <w:color w:val="000000"/>
        </w:rPr>
        <w:t xml:space="preserve">(Grant No. </w:t>
      </w:r>
      <w:r>
        <w:rPr>
          <w:color w:val="000000"/>
        </w:rPr>
        <w:t>2026A1515010445</w:t>
      </w:r>
      <w:r>
        <w:rPr>
          <w:rFonts w:hint="eastAsia"/>
          <w:color w:val="000000"/>
        </w:rPr>
        <w:t xml:space="preserve">), </w:t>
      </w:r>
      <w:r>
        <w:rPr>
          <w:color w:val="000000"/>
        </w:rPr>
        <w:t xml:space="preserve">International Science and Technology Innovation Cooperation between Governments for National Key R&amp;D Program Projects </w:t>
      </w:r>
      <w:r>
        <w:rPr>
          <w:rFonts w:hint="eastAsia"/>
          <w:color w:val="000000"/>
        </w:rPr>
        <w:t>(</w:t>
      </w:r>
      <w:r>
        <w:rPr>
          <w:color w:val="000000"/>
        </w:rPr>
        <w:t>2023YFE0107700</w:t>
      </w:r>
      <w:r>
        <w:rPr>
          <w:rFonts w:hint="eastAsia"/>
          <w:color w:val="000000"/>
        </w:rPr>
        <w:t>), Guangzhou Municipal Science</w:t>
      </w:r>
      <w:r>
        <w:rPr>
          <w:rFonts w:hint="eastAsia"/>
        </w:rPr>
        <w:t xml:space="preserve"> and Technology Bureau (</w:t>
      </w:r>
      <w:r>
        <w:rPr/>
        <w:t>2025A04J4304</w:t>
      </w:r>
      <w:r>
        <w:rPr>
          <w:rFonts w:hint="eastAsia"/>
        </w:rPr>
        <w:t xml:space="preserve">), </w:t>
      </w:r>
      <w:r>
        <w:rPr/>
        <w:t xml:space="preserve">Shenzhen Science and Technology Innovation Program </w:t>
      </w:r>
      <w:r>
        <w:rPr>
          <w:rFonts w:eastAsia="宋体" w:cs="宋体" w:hint="eastAsia" w:ascii="宋体" w:hAnsi="宋体"/>
        </w:rPr>
        <w:t>(</w:t>
      </w:r>
      <w:r>
        <w:rPr/>
        <w:t>JCYJ20250604174809012</w:t>
      </w:r>
      <w:r>
        <w:rPr>
          <w:rFonts w:eastAsia="宋体" w:hint="eastAsia"/>
        </w:rPr>
        <w:t>)</w:t>
      </w:r>
      <w:r>
        <w:rPr>
          <w:rFonts w:hint="eastAsia"/>
        </w:rPr>
        <w:t>.</w:t>
      </w:r>
      <w:r>
        <w:rPr>
          <w:rFonts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宋体" w:hint="eastAsia"/>
        </w:rPr>
        <w:t xml:space="preserve">M.L., X.M.W. and S.G.R. designed the website.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18"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2025a. ‘A Redefined InDel Taxonomy Provides Insights into Mutational Signatures’. </w:t>
      </w:r>
      <w:r>
        <w:rPr>
          <w:i/>
        </w:rPr>
        <w:t>Nature Genetics</w:t>
      </w:r>
      <w:r>
        <w:rPr/>
        <w:t>, ahead of print, April 10. https://doi.org/10.1038/s41588-025-02152-y.</w:t>
      </w:r>
    </w:p>
    <w:p>
      <w:pPr>
        <w:pStyle w:val="Bibliography1"/>
        <w:rPr/>
      </w:pPr>
      <w:r>
        <w:rPr/>
        <w:t xml:space="preserve">Koh, Gene Ching Chiek, Arjun Scott Nanda, Giuseppe Rinaldi, et al. 2025b.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18"/>
    </w:p>
    <w:p>
      <w:pPr>
        <w:pStyle w:val="Normal"/>
        <w:spacing w:before="0" w:after="160"/>
        <w:rPr/>
      </w:pPr>
      <w:r>
        <w:rPr/>
      </w:r>
    </w:p>
    <w:sectPr>
      <w:footerReference w:type="even" r:id="rId12"/>
      <w:footerReference w:type="default" r:id="rId13"/>
      <w:footerReference w:type="first" r:id="rId14"/>
      <w:type w:val="nextPage"/>
      <w:pgSz w:w="12240" w:h="15840"/>
      <w:pgMar w:left="1440" w:right="1440" w:gutter="0" w:header="0" w:top="144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1" w:author="Mo Liu" w:date="2026-04-10T16:58:00Z" w:initials="ML">
    <w:p w14:paraId="01000000">
      <w:pPr>
        <w:overflowPunct w:val="true"/>
        <w:spacing w:lineRule="auto" w:line="240" w:before="0" w:after="0"/>
        <w:rPr/>
      </w:pPr>
      <w:r>
        <w:annotationRef/>
      </w:r>
      <w:r>
        <w:rPr>
          <w:rFonts w:eastAsia="宋体" w:cs="Noto Sans Arabic UI" w:ascii="Calibri" w:hAnsi="Calibri"/>
          <w:sz w:val="22"/>
          <w:szCs w:val="22"/>
        </w:rPr>
        <w:t>Mo will prepare a sup tables show hdp and sigpro version signatures</w:t>
      </w:r>
    </w:p>
  </w:comment>
  <w:comment w:id="0" w:author="Mo Liu" w:date="2026-04-16T22:24:00Z" w:initials="ML">
    <w:p w14:paraId="02000000">
      <w:pPr>
        <w:overflowPunct w:val="true"/>
        <w:spacing w:lineRule="auto" w:line="240" w:before="0" w:after="0"/>
        <w:rPr/>
      </w:pPr>
      <w:r>
        <w:annotationRef/>
      </w:r>
      <w:r>
        <w:rPr>
          <w:rFonts w:eastAsia="宋体" w:cs="Noto Sans Arabic UI" w:ascii="Calibri" w:hAnsi="Calibri"/>
          <w:sz w:val="22"/>
          <w:szCs w:val="22"/>
        </w:rPr>
        <w:t>Done</w:t>
      </w:r>
    </w:p>
  </w:comment>
  <w:comment w:id="2" w:author="Mo Liu" w:date="2026-04-16T22:21:00Z" w:initials="ML">
    <w:p>
      <w:pPr>
        <w:overflowPunct w:val="true"/>
        <w:spacing w:lineRule="auto" w:line="240" w:before="0" w:after="0"/>
        <w:rPr/>
      </w:pPr>
      <w:r>
        <w:annotationRef/>
      </w:r>
      <w:r>
        <w:rPr>
          <w:rFonts w:eastAsia="宋体" w:cs="Noto Sans Arabic UI" w:ascii="Calibri" w:hAnsi="Calibri"/>
          <w:sz w:val="22"/>
          <w:szCs w:val="22"/>
        </w:rPr>
        <w:t>Missing word?</w:t>
      </w:r>
    </w:p>
  </w:comment>
  <w:comment w:id="3" w:author="Mo Liu" w:date="2026-04-10T19:52:00Z" w:initials="ML">
    <w:p>
      <w:pPr>
        <w:overflowPunct w:val="true"/>
        <w:spacing w:lineRule="auto" w:line="240" w:before="0" w:after="0"/>
        <w:rPr/>
      </w:pPr>
      <w:r>
        <w:annotationRef/>
      </w:r>
      <w:r>
        <w:rPr>
          <w:rFonts w:eastAsia="宋体" w:cs="Noto Sans Arabic UI" w:ascii="Calibri" w:hAnsi="Calibri"/>
          <w:sz w:val="22"/>
          <w:szCs w:val="22"/>
        </w:rPr>
        <w:t>Mo will work on this</w:t>
      </w:r>
    </w:p>
  </w:comment>
  <w:comment w:id="4" w:author="Mo Liu" w:date="2026-04-10T19:53:00Z" w:initials="ML">
    <w:p>
      <w:pPr>
        <w:overflowPunct w:val="true"/>
        <w:spacing w:lineRule="auto" w:line="240" w:before="0" w:after="0"/>
        <w:rPr/>
      </w:pPr>
      <w:r>
        <w:annotationRef/>
      </w:r>
      <w:r>
        <w:rPr>
          <w:rFonts w:eastAsia="宋体" w:cs="Noto Sans Arabic UI" w:ascii="Calibri" w:hAnsi="Calibri"/>
          <w:sz w:val="22"/>
          <w:szCs w:val="22"/>
        </w:rPr>
        <w:t>Mo to do a clock-like analysis for all signatures</w:t>
      </w:r>
    </w:p>
  </w:comment>
  <w:comment w:id="5" w:author="Mo Liu" w:date="2026-03-24T10:49:00Z" w:initials="ML">
    <w:p>
      <w:pPr>
        <w:overflowPunct w:val="false"/>
        <w:spacing w:lineRule="auto" w:line="240" w:before="0" w:after="0"/>
        <w:rPr/>
      </w:pPr>
      <w:r>
        <w:annotationRef/>
      </w:r>
      <w:r>
        <w:rPr>
          <w:rFonts w:eastAsia="宋体" w:cs="Noto Sans Arabic UI" w:ascii="Liberation Serif" w:hAnsi="Liberation Serif"/>
          <w:sz w:val="22"/>
          <w:szCs w:val="22"/>
          <w:lang w:eastAsia="en-US" w:bidi="en-US"/>
        </w:rPr>
        <w:t>The 172 approach theoretically would have strong concordance. Do we need to show this?</w:t>
      </w:r>
    </w:p>
  </w:comment>
  <w:comment w:id="6" w:author="Mo Liu" w:date="2026-04-03T21:55:00Z" w:initials="ML">
    <w:p>
      <w:pPr>
        <w:overflowPunct w:val="false"/>
        <w:spacing w:lineRule="auto" w:line="240" w:before="0" w:after="0"/>
        <w:rPr/>
      </w:pPr>
      <w:r>
        <w:annotationRef/>
      </w:r>
      <w:r>
        <w:rPr>
          <w:rFonts w:eastAsia="宋体" w:cs="Noto Sans Arabic UI" w:ascii="Calibri" w:hAnsi="Calibri"/>
          <w:sz w:val="22"/>
          <w:szCs w:val="22"/>
        </w:rPr>
        <w:t>Figure 5 shows C_ID14’s high correlation with SBS93, the TSB further supports its formation due to DNA adduct</w:t>
      </w:r>
    </w:p>
  </w:comment>
  <w:comment w:id="7" w:author="Mo Liu" w:date="2026-04-16T22:22:00Z" w:initials="ML">
    <w:p>
      <w:pPr>
        <w:overflowPunct w:val="true"/>
        <w:spacing w:lineRule="auto" w:line="240" w:before="0" w:after="0"/>
        <w:rPr/>
      </w:pPr>
      <w:r>
        <w:annotationRef/>
      </w:r>
      <w:r>
        <w:rPr>
          <w:rFonts w:eastAsia="宋体" w:cs="Noto Sans Arabic UI" w:ascii="Calibri" w:hAnsi="Calibri"/>
          <w:sz w:val="22"/>
          <w:szCs w:val="22"/>
        </w:rPr>
        <w:t>Mo did sex differences and age association(clock-like)</w:t>
      </w:r>
    </w:p>
  </w:comment>
  <w:comment w:id="8" w:author="Mo Liu" w:date="2026-04-16T23:04:00Z" w:initials="ML">
    <w:p>
      <w:pPr>
        <w:overflowPunct w:val="true"/>
        <w:spacing w:lineRule="auto" w:line="240" w:before="0" w:after="0"/>
        <w:rPr/>
      </w:pPr>
      <w:r>
        <w:annotationRef/>
      </w:r>
      <w:r>
        <w:rPr>
          <w:rFonts w:eastAsia="宋体" w:cs="Noto Sans Arabic UI" w:ascii="Calibri" w:hAnsi="Calibri"/>
          <w:sz w:val="22"/>
          <w:szCs w:val="22"/>
        </w:rPr>
        <w:t>New paragraph about gender association</w:t>
      </w:r>
    </w:p>
  </w:comment>
  <w:comment w:id="9" w:author="Mo Liu" w:date="2026-04-07T16:26:00Z" w:initials="ML">
    <w:p>
      <w:pPr>
        <w:overflowPunct w:val="true"/>
        <w:spacing w:lineRule="auto" w:line="240" w:before="0" w:after="0"/>
        <w:rPr/>
      </w:pPr>
      <w:r>
        <w:annotationRef/>
      </w:r>
      <w:r>
        <w:rPr>
          <w:rFonts w:eastAsia="宋体" w:cs="Noto Sans Arabic UI" w:ascii="Calibri" w:hAnsi="Calibri"/>
          <w:sz w:val="22"/>
          <w:szCs w:val="22"/>
        </w:rPr>
        <w:t>Mo edit</w:t>
      </w:r>
    </w:p>
  </w:comment>
  <w:comment w:id="10" w:author="Mo Liu" w:date="2026-04-07T16:19:00Z" w:initials="ML">
    <w:p>
      <w:pPr>
        <w:overflowPunct w:val="true"/>
        <w:spacing w:lineRule="auto" w:line="240" w:before="0" w:after="0"/>
        <w:rPr/>
      </w:pPr>
      <w:r>
        <w:annotationRef/>
      </w:r>
      <w:r>
        <w:rPr>
          <w:rFonts w:eastAsia="宋体" w:cs="Noto Sans Arabic UI" w:ascii="Calibri" w:hAnsi="Calibri"/>
          <w:sz w:val="22"/>
          <w:szCs w:val="22"/>
        </w:rPr>
        <w:t xml:space="preserve">We can remove this now. </w:t>
      </w:r>
    </w:p>
  </w:comment>
  <w:comment w:id="11" w:author="Mo Liu" w:date="2026-04-07T16:27:00Z" w:initials="ML">
    <w:p>
      <w:pPr>
        <w:overflowPunct w:val="true"/>
        <w:spacing w:lineRule="auto" w:line="240" w:before="0" w:after="0"/>
        <w:rPr/>
      </w:pPr>
      <w:r>
        <w:annotationRef/>
      </w:r>
      <w:r>
        <w:rPr>
          <w:rFonts w:eastAsia="宋体" w:cs="Noto Sans Arabic UI" w:ascii="Calibri" w:hAnsi="Calibri"/>
          <w:sz w:val="22"/>
          <w:szCs w:val="22"/>
        </w:rPr>
        <w:t>I’m not sure if I wrote this. It can be removed, if this is for the signature assignment analysis.</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1" w:characterSet="utf-8"/>
    <w:family w:val="swiss"/>
    <w:pitch w:val="variable"/>
  </w:font>
  <w:font w:name="Liberation Sans">
    <w:altName w:val="Arial"/>
    <w:charset w:val="01" w:characterSet="utf-8"/>
    <w:family w:val="swiss"/>
    <w:pitch w:val="variable"/>
  </w:font>
  <w:font w:name="宋体">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r>
      <w:rPr/>
      <w:t xml:space="preserve">Page </w:t>
    </w:r>
    <w:r>
      <w:rPr/>
      <w:fldChar w:fldCharType="begin"/>
    </w:r>
    <w:r>
      <w:rPr/>
      <w:instrText xml:space="preserve"> PAGE </w:instrText>
    </w:r>
    <w:r>
      <w:rPr/>
      <w:fldChar w:fldCharType="separate"/>
    </w:r>
    <w:r>
      <w:rPr/>
      <w:t>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end"/>
      <w:rPr/>
    </w:pPr>
    <w:r>
      <w:rPr/>
      <w:t xml:space="preserve">Page </w:t>
    </w:r>
    <w:r>
      <w:rPr/>
      <w:fldChar w:fldCharType="begin"/>
    </w:r>
    <w:r>
      <w:rPr/>
      <w:instrText xml:space="preserve"> PAGE </w:instrText>
    </w:r>
    <w:r>
      <w:rPr/>
      <w:fldChar w:fldCharType="separate"/>
    </w:r>
    <w:r>
      <w:rPr/>
      <w:t>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qFormat/>
    <w:rPr>
      <w:sz w:val="21"/>
      <w:szCs w:val="21"/>
    </w:rPr>
  </w:style>
  <w:style w:type="character" w:styleId="CommentTextChar" w:customStyle="1">
    <w:name w:val="Comment Text Char"/>
    <w:basedOn w:val="DefaultParagraphFont"/>
    <w:link w:val="CommentText"/>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user" w:customStyle="1">
    <w:name w:val="Bullets (user)"/>
    <w:qFormat/>
    <w:rPr>
      <w:rFonts w:ascii="OpenSymbol" w:hAnsi="OpenSymbol" w:eastAsia="OpenSymbol" w:cs="OpenSymbol"/>
    </w:rPr>
  </w:style>
  <w:style w:type="character" w:styleId="LineNumber">
    <w:name w:val="line number"/>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semiHidden/>
    <w:unhideWhenUsed/>
    <w:qFormat/>
    <w:rsid w:val="00d2057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https://www.sciencedirect.com/science/article/pii/S2211124722002996" TargetMode="External"/><Relationship Id="rId4" Type="http://schemas.openxmlformats.org/officeDocument/2006/relationships/hyperlink" Target="https://share.google/aimode/iNBDfopq5IisBu9TY" TargetMode="External"/><Relationship Id="rId5" Type="http://schemas.openxmlformats.org/officeDocument/2006/relationships/hyperlink" Target="https://dcc.icgc.org/releases/current/Projects/" TargetMode="External"/><Relationship Id="rId6" Type="http://schemas.openxmlformats.org/officeDocument/2006/relationships/hyperlink" Target="https://cancer.sanger.ac.uk/cosmic/census?tier=1" TargetMode="External"/><Relationship Id="rId7" Type="http://schemas.openxmlformats.org/officeDocument/2006/relationships/hyperlink" Target="https://cancer.sanger.ac.uk/signatures/id/" TargetMode="External"/><Relationship Id="rId8" Type="http://schemas.openxmlformats.org/officeDocument/2006/relationships/hyperlink" Target="https://bmcbioinformatics.biomedcentral.com/articles/10.1186/s12859-020-03772-3" TargetMode="External"/><Relationship Id="rId9" Type="http://schemas.openxmlformats.org/officeDocument/2006/relationships/hyperlink" Target="https://doi.org/10.1016/j.celrep.2023.112930" TargetMode="External"/><Relationship Id="rId10" Type="http://schemas.openxmlformats.org/officeDocument/2006/relationships/hyperlink" Target="https://hgdownload.cse.ucsc.edu/goldenPath/hg19/encodeDCC/wgEncodeUwRepliSeq/" TargetMode="External"/><Relationship Id="rId11" Type="http://schemas.openxmlformats.org/officeDocument/2006/relationships/hyperlink" Target="https://genomebiology.biomedcentral.com/articles/10.1186/s13059-018-1509-y"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comments" Target="comments.xml"/><Relationship Id="rId16" Type="http://schemas.microsoft.com/office/2011/relationships/commentsExtended" Target="commentsExtended.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212</TotalTime>
  <Application>LibreOffice/26.2.2.2$Linux_X86_64 LibreOffice_project/620$Build-2</Application>
  <AppVersion>15.0000</AppVersion>
  <Pages>31</Pages>
  <Words>7178</Words>
  <Characters>43447</Characters>
  <CharactersWithSpaces>50497</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2026-04-16T14:22:00Z</dcterms:created>
  <dc:creator>Mo Liu</dc:creator>
  <dc:description/>
  <dc:language>en-US</dc:language>
  <cp:lastModifiedBy/>
  <cp:lastPrinted>2025-06-06T09:23:00Z</cp:lastPrinted>
  <dcterms:modified xsi:type="dcterms:W3CDTF">2026-04-22T22:20:01Z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zotero-version="8.0.4"&gt;&lt;session id="hrQZjRzN"/&gt;&lt;style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