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shd w:fill="FFFF00" w:val="clear"/>
        </w:rPr>
        <w:t>“</w:t>
      </w:r>
      <w:r>
        <w:rPr>
          <w:b w:val="false"/>
          <w:bCs w:val="false"/>
          <w:shd w:fill="FFFF00" w:val="clear"/>
        </w:rPr>
        <w:t>Resource” in CELL</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r>
        <w:rPr>
          <w:shd w:fill="FFFF00" w:val="clear"/>
        </w:rPr>
        <w:t>ADD 476 to FIG 1 and delete SBS and DBS or move to sup fig</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w:t>
      </w:r>
      <w:commentRangeStart w:id="0"/>
      <w:commentRangeStart w:id="1"/>
      <w:r>
        <w:rPr/>
        <w:t xml:space="preserve"> The extracted signatures were broadly consistent between the two methods </w:t>
      </w:r>
      <w:r>
        <w:rPr>
          <w:shd w:fill="FFFF00" w:val="clear"/>
        </w:rPr>
        <w:t xml:space="preserve">(reference table 1, shiny app, our vignette), </w:t>
      </w:r>
      <w:r>
        <w:rPr/>
        <w:t>W</w:t>
      </w:r>
      <w:r>
        <w:rPr/>
      </w:r>
      <w:commentRangeEnd w:id="1"/>
      <w:r>
        <w:commentReference w:id="1"/>
      </w:r>
      <w:r>
        <w:rPr/>
      </w:r>
      <w:commentRangeEnd w:id="0"/>
      <w:r>
        <w:commentReference w:id="0"/>
      </w:r>
      <w:r>
        <w:rPr/>
        <w:t>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w:t>
      </w:r>
      <w:commentRangeStart w:id="2"/>
      <w:r>
        <w:rPr/>
        <w:t xml:space="preserve">h the </w:t>
      </w:r>
      <w:r>
        <w:rPr/>
      </w:r>
      <w:commentRangeEnd w:id="2"/>
      <w:r>
        <w:commentReference w:id="2"/>
      </w:r>
      <w:r>
        <w:rPr/>
        <w:t xml:space="preserve">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&lt;steve create sup table from .csv file and call it sup_table_no_translation.xlsx&gt;</w:t>
      </w:r>
      <w:r>
        <w:rP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&lt;cite vignette and shiny app&gt;</w:t>
      </w:r>
      <w:r>
        <w:rPr/>
        <w:t xml:space="preserve">. </w:t>
      </w:r>
    </w:p>
    <w:p>
      <w:pPr>
        <w:pStyle w:val="normalfirst"/>
        <w:ind w:firstLine="720"/>
        <w:rPr/>
      </w:pPr>
      <w:r>
        <w:rPr/>
        <w:t>In several cases, the 89 and 476 type systems were able to distinguish signatures that the 83-type system merged: &lt;this is a note, delete it: ID1, 2, 3, 5, 19, A, N&gt;.</w:t>
      </w:r>
      <w:r>
        <w:rPr>
          <w:shd w:fill="FFFF00" w:val="clear"/>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3"/>
      <w:r>
        <w:rPr>
          <w:shd w:fill="FFFF00" w:val="clear"/>
        </w:rPr>
        <w:t>&lt;time permitting – do sup fig&gt;</w:t>
      </w:r>
      <w:r>
        <w:rPr>
          <w:shd w:fill="FFFF00" w:val="clear"/>
        </w:rPr>
      </w:r>
      <w:commentRangeEnd w:id="3"/>
      <w:r>
        <w:commentReference w:id="3"/>
      </w:r>
      <w:r>
        <w:rPr>
          <w:shd w:fill="FFFF00" w:val="clear"/>
        </w:rPr>
        <w:t>.</w:t>
      </w:r>
    </w:p>
    <w:p>
      <w:pPr>
        <w:pStyle w:val="normalfirst"/>
        <w:ind w:firstLine="720"/>
        <w:rPr/>
      </w:pPr>
      <w:r>
        <w:rPr/>
        <w:t xml:space="preserve">The pair InsDel11 and InsDel16 is also similar, with InsDel11 having insertions of </w:t>
      </w:r>
      <w:r>
        <w:rPr/>
        <w:t>one</w:t>
      </w:r>
      <w:r>
        <w:rPr/>
        <w:t xml:space="preserve"> C next to </w:t>
      </w:r>
      <w:r>
        <w:rPr/>
        <w:t xml:space="preserve">an </w:t>
      </w:r>
      <w:r>
        <w:rPr/>
        <w:t xml:space="preserve">isolated C (C with non-Cs on each side, e.g. ACG -&gt; ACCG) and insertion of </w:t>
      </w:r>
      <w:r>
        <w:rPr/>
        <w:t>a one</w:t>
      </w:r>
      <w:r>
        <w:rPr/>
        <w:t xml:space="preserve"> T next to </w:t>
      </w:r>
      <w:r>
        <w:rPr/>
        <w:t xml:space="preserve">an </w:t>
      </w:r>
      <w:r>
        <w:rPr/>
        <w:t xml:space="preserve">isolated T (e.g. GTG -&gt; GTTG), as opposed to InsDel16, </w:t>
      </w:r>
      <w:r>
        <w:rPr/>
        <w:t>which</w:t>
      </w:r>
      <w:r>
        <w:rPr/>
        <w:t xml:space="preserve"> ha</w:t>
      </w:r>
      <w:r>
        <w:rPr/>
        <w:t xml:space="preserve">s insertion of one </w:t>
      </w:r>
      <w:r>
        <w:rPr/>
        <w:t xml:space="preserve"> C between non-Cs (e.g. AT -&gt; ACT), and insertion of </w:t>
      </w:r>
      <w:r>
        <w:rPr/>
        <w:t xml:space="preserve">one </w:t>
      </w:r>
      <w:r>
        <w:rPr/>
        <w:t xml:space="preserve">T between non-Ts (e.g. AG -&gt; ATG). </w:t>
      </w:r>
      <w:r>
        <w:rPr>
          <w:shd w:fill="FFFF00" w:val="clear"/>
        </w:rPr>
        <w:t>&lt;time permitting – do sup fig&gt;.</w:t>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shd w:fill="FFFF00" w:val="clear"/>
        </w:rPr>
        <w:t>&lt;edit&gt; &lt;forget about 89, just contrast 476 to 8</w:t>
      </w:r>
      <w:r>
        <w:rPr/>
        <w:t>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6">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7">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4"/>
      <w:r>
        <w:rPr>
          <w:shd w:fill="FFFF00" w:val="clear"/>
        </w:rPr>
        <w:t>Maybe say B is clock-like</w:t>
      </w:r>
      <w:r>
        <w:rPr>
          <w:shd w:fill="FFFF00" w:val="clear"/>
        </w:rPr>
      </w:r>
      <w:commentRangeEnd w:id="4"/>
      <w:r>
        <w:commentReference w:id="4"/>
      </w:r>
      <w:r>
        <w:rPr>
          <w:shd w:fill="FFFF00" w:val="clear"/>
        </w:rPr>
        <w:t>&gt;</w:t>
      </w:r>
    </w:p>
    <w:p>
      <w:pPr>
        <w:pStyle w:val="Normal"/>
        <w:rPr/>
      </w:pPr>
      <w:commentRangeStart w:id="5"/>
      <w:r>
        <w:rPr>
          <w:shd w:fill="FFFF00" w:val="clear"/>
        </w:rPr>
        <w:t>&lt;need to show this&gt; 8</w:t>
      </w:r>
      <w:r>
        <w:rPr/>
        <w:t xml:space="preserve">9-type signature assignments revealed strong concordance with the 83-type signatures when a one-to-one mapping was present. </w:t>
      </w:r>
      <w:r>
        <w:rPr/>
      </w:r>
      <w:commentRangeEnd w:id="5"/>
      <w:r>
        <w:commentReference w:id="5"/>
      </w:r>
      <w:r>
        <w:rPr/>
        <w:t xml:space="preserve">When an 83-type signature was represented by multiple 89-type signatures (e.g., C_ID1 was captured by InsDel1a, InsDel1b, InsDel1c, and InsDel1d),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6"/>
      <w:r>
        <w:rPr/>
        <w:t xml:space="preserve"> C_ID14 (</w:t>
      </w:r>
      <w:r>
        <w:rPr>
          <w:rFonts w:hint="eastAsia"/>
        </w:rPr>
        <w:t>SBS93 correlated, likely due to smoking exposure</w:t>
      </w:r>
      <w:r>
        <w:rPr/>
        <w:t>)</w:t>
      </w:r>
      <w:r>
        <w:rPr/>
      </w:r>
      <w:commentRangeEnd w:id="6"/>
      <w:r>
        <w:commentReference w:id="6"/>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7"/>
      <w:r>
        <w:rPr/>
        <w:t>Functional and Demographic Associations  &lt;was here, removed to separate doc functional_and_demographic.docx&gt; Are we keeping sex differences?</w:t>
      </w:r>
      <w:commentRangeEnd w:id="7"/>
      <w:r>
        <w:commentReference w:id="7"/>
      </w:r>
      <w:r>
        <w:rPr/>
      </w:r>
    </w:p>
    <w:p>
      <w:pPr>
        <w:pStyle w:val="Normal"/>
        <w:rPr>
          <w:rFonts w:eastAsia="宋体"/>
        </w:rPr>
      </w:pPr>
      <w:r>
        <w:rPr>
          <w:rFonts w:eastAsia="宋体"/>
        </w:rPr>
      </w:r>
    </w:p>
    <w:p>
      <w:pPr>
        <w:pStyle w:val="Normal"/>
        <w:rPr>
          <w:rFonts w:eastAsia="宋体"/>
        </w:rPr>
      </w:pPr>
      <w:r>
        <w:rPr>
          <w:rFonts w:eastAsia="宋体"/>
        </w:rPr>
      </w:r>
    </w:p>
    <w:p>
      <w:pPr>
        <w:pStyle w:val="Normal"/>
        <w:rPr>
          <w:rFonts w:eastAsia="宋体"/>
        </w:rPr>
      </w:pPr>
      <w:commentRangeStart w:id="8"/>
      <w:r>
        <w:rPr>
          <w:rFonts w:eastAsia="宋体"/>
        </w:rPr>
        <w:t xml:space="preserve">To investigate the </w:t>
      </w:r>
      <w:r>
        <w:rPr>
          <w:rFonts w:eastAsia="宋体" w:hint="eastAsia"/>
        </w:rPr>
        <w:t>gender bias</w:t>
      </w:r>
      <w:r>
        <w:rPr>
          <w:rFonts w:eastAsia="宋体"/>
        </w:rPr>
        <w:t xml:space="preserve"> of mutational processes, we systematically compared signature activities between sexes using two-sided Fisher’s exact tests. After Benjamini–Hochberg correction (q &lt; 0.2), we identified nine gender-biased associations that reveal a distinct polarity between tumor types. Male-skewed processes were predominant in lung, liver, and "Other" tumor categories. Specifically, lung cancer exhibited significant male enrichment in InsDel3b (OR = 0.367, q = 0.061) and C_ID3 (OR = 0.397, q = 0.188)</w:t>
      </w:r>
      <w:r>
        <w:rPr>
          <w:rFonts w:eastAsia="宋体" w:hint="eastAsia"/>
        </w:rPr>
        <w:t xml:space="preserve">. </w:t>
      </w:r>
      <w:r>
        <w:rPr>
          <w:rFonts w:eastAsia="宋体"/>
        </w:rPr>
        <w:t>Given the established association of these signatures with tobacco consumption, this enrichment likely reflects higher smoking-related mutagenic burdens in the male coho</w:t>
      </w:r>
      <w:r>
        <w:rPr>
          <w:rFonts w:eastAsia="宋体" w:hint="eastAsia"/>
        </w:rPr>
        <w:t>rt. In</w:t>
      </w:r>
      <w:r>
        <w:rPr>
          <w:rFonts w:eastAsia="宋体"/>
        </w:rPr>
        <w:t xml:space="preserve"> liver cancer</w:t>
      </w:r>
      <w:r>
        <w:rPr>
          <w:rFonts w:eastAsia="宋体" w:hint="eastAsia"/>
        </w:rPr>
        <w:t>,</w:t>
      </w:r>
      <w:r>
        <w:rPr>
          <w:rFonts w:eastAsia="宋体"/>
        </w:rPr>
        <w:t xml:space="preserve"> a similar trend </w:t>
      </w:r>
      <w:r>
        <w:rPr>
          <w:rFonts w:eastAsia="宋体" w:hint="eastAsia"/>
        </w:rPr>
        <w:t xml:space="preserve">was observed </w:t>
      </w:r>
      <w:r>
        <w:rPr>
          <w:rFonts w:eastAsia="宋体"/>
        </w:rPr>
        <w:t xml:space="preserve">for InsDel5a </w:t>
      </w:r>
      <w:r>
        <w:rPr>
          <w:rFonts w:eastAsia="宋体" w:hint="eastAsia"/>
        </w:rPr>
        <w:t>(</w:t>
      </w:r>
      <w:r>
        <w:rPr>
          <w:rFonts w:eastAsia="宋体"/>
        </w:rPr>
        <w:t>OR = 0.481, q = 0.118</w:t>
      </w:r>
      <w:r>
        <w:rPr>
          <w:rFonts w:eastAsia="宋体" w:hint="eastAsia"/>
        </w:rPr>
        <w:t>, clock-like</w:t>
      </w:r>
      <w:r>
        <w:rPr>
          <w:rFonts w:eastAsia="宋体"/>
        </w:rPr>
        <w:t>)</w:t>
      </w:r>
      <w:r>
        <w:rPr>
          <w:rFonts w:eastAsia="宋体" w:hint="eastAsia"/>
        </w:rPr>
        <w:t xml:space="preserve"> and </w:t>
      </w:r>
      <w:r>
        <w:rPr>
          <w:rFonts w:eastAsia="宋体"/>
        </w:rPr>
        <w:t>InsDel8</w:t>
      </w:r>
      <w:r>
        <w:rPr>
          <w:rFonts w:eastAsia="宋体" w:hint="eastAsia"/>
        </w:rPr>
        <w:t>/C_ID8</w:t>
      </w:r>
      <w:r>
        <w:rPr>
          <w:rFonts w:eastAsia="宋体"/>
        </w:rPr>
        <w:t xml:space="preserve"> (R = 0.271, q = 0.184</w:t>
      </w:r>
      <w:r>
        <w:rPr>
          <w:rFonts w:eastAsia="宋体" w:hint="eastAsia"/>
        </w:rPr>
        <w:t xml:space="preserve">, DSB repair by NHEJ and age associated </w:t>
      </w:r>
      <w:r>
        <w:rPr>
          <w:rFonts w:eastAsia="宋体"/>
        </w:rPr>
        <w:t>). This male-biased pattern extended to the "Other" category via C_ID19 (OR = 0.424, q = 0.188</w:t>
      </w:r>
      <w:r>
        <w:rPr>
          <w:rFonts w:eastAsia="宋体" w:hint="eastAsia"/>
        </w:rPr>
        <w:t>)</w:t>
      </w:r>
      <w:r>
        <w:rPr>
          <w:rFonts w:eastAsia="宋体"/>
        </w:rPr>
        <w:t xml:space="preserve"> and InsDel19b (OR = 0.448, q = 0.197). Conversely, female-biased signatures were occurred </w:t>
      </w:r>
      <w:r>
        <w:rPr>
          <w:rFonts w:eastAsia="宋体" w:hint="eastAsia"/>
        </w:rPr>
        <w:t>in</w:t>
      </w:r>
      <w:r>
        <w:rPr>
          <w:rFonts w:eastAsia="宋体"/>
        </w:rPr>
        <w:t xml:space="preserve"> esophageal and lymphoid malignancies. The magnitude of these associations was most pronounced in esophageal cancer for InsDel1a (OR = 3.85, q = 0.061) and C_ID1 (OR = 3.22, q = 0.188), alongside InsDel1c (OR = 2.63, q = 0.194) in lymphoid cancers. These results delineate a sex-stratified landscape of mutational etiology, suggesting that the underlying biological mechanisms driving genome instability are fundamentally influenced by gender.</w:t>
      </w:r>
      <w:commentRangeEnd w:id="8"/>
      <w:r>
        <w:commentReference w:id="8"/>
      </w:r>
      <w:r>
        <w:rPr>
          <w:rFonts w:eastAsia="宋体"/>
        </w:rPr>
      </w:r>
    </w:p>
    <w:p>
      <w:pPr>
        <w:pStyle w:val="Normal"/>
        <w:rPr>
          <w:rFonts w:eastAsia="宋体"/>
        </w:rPr>
      </w:pPr>
      <w:r>
        <w:rPr>
          <w:rFonts w:eastAsia="宋体"/>
        </w:rPr>
        <w:t>.</w:t>
      </w:r>
    </w:p>
    <w:p>
      <w:pPr>
        <w:pStyle w:val="Normal"/>
        <w:rPr>
          <w:rFonts w:eastAsia="宋体"/>
        </w:rPr>
      </w:pPr>
      <w:r>
        <w:rPr>
          <w:rFonts w:eastAsia="宋体"/>
        </w:rPr>
      </w:r>
    </w:p>
    <w:p>
      <w:pPr>
        <w:pStyle w:val="Normal"/>
        <w:rPr>
          <w:rFonts w:eastAsia="宋体" w:hint="eastAsia"/>
        </w:rPr>
      </w:pPr>
      <w:r>
        <w:rPr>
          <w:rFonts w:eastAsia="宋体" w:hint="eastAsia"/>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9"/>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9"/>
      <w:r>
        <w:commentReference w:id="9"/>
      </w:r>
      <w:r>
        <w:rPr>
          <w:rFonts w:eastAsia="宋体" w:hint="eastAsia"/>
        </w:rPr>
        <w:t>.</w:t>
      </w:r>
    </w:p>
    <w:p>
      <w:pPr>
        <w:pStyle w:val="normalfirst"/>
        <w:ind w:firstLineChars="200"/>
        <w:rPr/>
      </w:pPr>
      <w:commentRangeStart w:id="10"/>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10"/>
      <w:r>
        <w:commentReference w:id="10"/>
      </w:r>
      <w:r>
        <w:rPr/>
      </w:r>
    </w:p>
    <w:p>
      <w:pPr>
        <w:pStyle w:val="normalfirst"/>
        <w:ind w:firstLineChars="200"/>
        <w:rPr/>
      </w:pPr>
      <w:commentRangeStart w:id="11"/>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11"/>
      <w:r>
        <w:commentReference w:id="11"/>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Mo Liu" w:date="2026-04-10T16:58:00Z" w:initials="ML">
    <w:p w14:paraId="01000000">
      <w:pPr>
        <w:overflowPunct w:val="false"/>
        <w:spacing w:before="0" w:after="0" w:lineRule="auto" w:line="240"/>
        <w:rPr/>
      </w:pPr>
      <w:r>
        <w:annotationRef/>
      </w:r>
      <w:r>
        <w:rPr>
          <w:rFonts w:cs="Noto Sans Arabic UI" w:eastAsia="宋体" w:ascii="Calibri" w:hAnsi="Calibri"/>
          <w:sz w:val="22"/>
          <w:szCs w:val="22"/>
        </w:rPr>
        <w:t>Mo will prepare a sup tables show hdp and sigpro version signatures</w:t>
      </w:r>
    </w:p>
  </w:comment>
  <w:comment w:id="0" w:author="Mo Liu" w:date="2026-04-16T22:24:00Z" w:initials="ML">
    <w:p w14:paraId="02000000">
      <w:pPr>
        <w:overflowPunct w:val="false"/>
        <w:spacing w:before="0" w:after="0" w:lineRule="auto" w:line="240"/>
        <w:rPr/>
      </w:pPr>
      <w:r>
        <w:annotationRef/>
      </w:r>
      <w:r>
        <w:rPr>
          <w:rFonts w:cs="Noto Sans Arabic UI" w:eastAsia="宋体" w:ascii="Calibri" w:hAnsi="Calibri"/>
          <w:sz w:val="22"/>
          <w:szCs w:val="22"/>
        </w:rPr>
        <w:t>Done</w:t>
      </w:r>
    </w:p>
  </w:comment>
  <w:comment w:id="2" w:author="Mo Liu" w:date="2026-04-16T22:21:00Z" w:initials="ML">
    <w:p>
      <w:pPr>
        <w:overflowPunct w:val="false"/>
        <w:spacing w:before="0" w:after="0" w:lineRule="auto" w:line="240"/>
        <w:rPr/>
      </w:pPr>
      <w:r>
        <w:annotationRef/>
      </w:r>
      <w:r>
        <w:rPr>
          <w:rFonts w:cs="Noto Sans Arabic UI" w:eastAsia="宋体" w:ascii="Calibri" w:hAnsi="Calibri"/>
          <w:sz w:val="22"/>
          <w:szCs w:val="22"/>
        </w:rPr>
        <w:t>Missing word?</w:t>
      </w:r>
    </w:p>
  </w:comment>
  <w:comment w:id="3" w:author="Mo Liu" w:date="2026-04-10T19:52:00Z" w:initials="ML">
    <w:p>
      <w:pPr>
        <w:overflowPunct w:val="false"/>
        <w:spacing w:before="0" w:after="0" w:lineRule="auto" w:line="240"/>
        <w:rPr/>
      </w:pPr>
      <w:r>
        <w:annotationRef/>
      </w:r>
      <w:r>
        <w:rPr>
          <w:rFonts w:cs="Noto Sans Arabic UI" w:eastAsia="宋体" w:ascii="Calibri" w:hAnsi="Calibri"/>
          <w:sz w:val="22"/>
          <w:szCs w:val="22"/>
        </w:rPr>
        <w:t>Mo will work on this</w:t>
      </w:r>
    </w:p>
  </w:comment>
  <w:comment w:id="4" w:author="Mo Liu" w:date="2026-04-10T19:53:00Z" w:initials="ML">
    <w:p>
      <w:pPr>
        <w:overflowPunct w:val="false"/>
        <w:spacing w:before="0" w:after="0" w:lineRule="auto" w:line="240"/>
        <w:rPr/>
      </w:pPr>
      <w:r>
        <w:annotationRef/>
      </w:r>
      <w:r>
        <w:rPr>
          <w:rFonts w:cs="Noto Sans Arabic UI" w:eastAsia="宋体" w:ascii="Calibri" w:hAnsi="Calibri"/>
          <w:sz w:val="22"/>
          <w:szCs w:val="22"/>
        </w:rPr>
        <w:t>Mo to do a clock-like analysis for all signatures</w:t>
      </w:r>
    </w:p>
  </w:comment>
  <w:comment w:id="5" w:author="Mo Liu" w:date="2026-03-24T10:49:00Z" w:initials="ML">
    <w:p>
      <w:pPr>
        <w:overflowPunct w:val="true"/>
        <w:spacing w:lineRule="auto" w:line="240" w:before="0" w:after="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6"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7" w:author="Mo Liu" w:date="2026-04-16T22:22:00Z" w:initials="ML">
    <w:p>
      <w:pPr>
        <w:overflowPunct w:val="false"/>
        <w:spacing w:before="0" w:after="0" w:lineRule="auto" w:line="240"/>
        <w:rPr/>
      </w:pPr>
      <w:r>
        <w:annotationRef/>
      </w:r>
      <w:r>
        <w:rPr>
          <w:rFonts w:cs="Noto Sans Arabic UI" w:eastAsia="宋体" w:ascii="Calibri" w:hAnsi="Calibri"/>
          <w:sz w:val="22"/>
          <w:szCs w:val="22"/>
        </w:rPr>
        <w:t>Mo did sex differences and age association(clock-like)</w:t>
      </w:r>
    </w:p>
  </w:comment>
  <w:comment w:id="8" w:author="Mo Liu" w:date="2026-04-16T23:04:00Z" w:initials="ML">
    <w:p>
      <w:pPr>
        <w:overflowPunct w:val="false"/>
        <w:spacing w:before="0" w:after="0" w:lineRule="auto" w:line="240"/>
        <w:rPr/>
      </w:pPr>
      <w:r>
        <w:annotationRef/>
      </w:r>
      <w:r>
        <w:rPr>
          <w:rFonts w:cs="Noto Sans Arabic UI" w:eastAsia="宋体" w:ascii="Calibri" w:hAnsi="Calibri"/>
          <w:sz w:val="22"/>
          <w:szCs w:val="22"/>
        </w:rPr>
        <w:t>New paragraph about gender association</w:t>
      </w:r>
    </w:p>
  </w:comment>
  <w:comment w:id="9" w:author="Mo Liu" w:date="2026-04-07T16:26:00Z" w:initials="ML">
    <w:p>
      <w:pPr>
        <w:overflowPunct w:val="false"/>
        <w:spacing w:before="0" w:after="0" w:lineRule="auto" w:line="240"/>
        <w:rPr/>
      </w:pPr>
      <w:r>
        <w:annotationRef/>
      </w:r>
      <w:r>
        <w:rPr>
          <w:rFonts w:eastAsia="宋体" w:cs="Noto Sans Arabic UI" w:ascii="Calibri" w:hAnsi="Calibri"/>
          <w:sz w:val="22"/>
          <w:szCs w:val="22"/>
        </w:rPr>
        <w:t>Mo edit</w:t>
      </w:r>
    </w:p>
  </w:comment>
  <w:comment w:id="10" w:author="Mo Liu" w:date="2026-04-07T16:19:00Z" w:initials="ML">
    <w:p>
      <w:pPr>
        <w:overflowPunct w:val="false"/>
        <w:spacing w:before="0" w:after="0" w:lineRule="auto" w:line="240"/>
        <w:rPr/>
      </w:pPr>
      <w:r>
        <w:annotationRef/>
      </w:r>
      <w:r>
        <w:rPr>
          <w:rFonts w:eastAsia="宋体" w:cs="Noto Sans Arabic UI" w:ascii="Calibri" w:hAnsi="Calibri"/>
          <w:sz w:val="22"/>
          <w:szCs w:val="22"/>
        </w:rPr>
        <w:t xml:space="preserve">We can remove this now. </w:t>
      </w:r>
    </w:p>
  </w:comment>
  <w:comment w:id="11" w:author="Mo Liu" w:date="2026-04-07T16:27:00Z" w:initials="ML">
    <w:p>
      <w:pPr>
        <w:overflowPunct w:val="false"/>
        <w:spacing w:before="0" w:after="0" w:lineRule="auto" w:line="240"/>
        <w:rPr/>
      </w:pPr>
      <w:r>
        <w:annotationRef/>
      </w:r>
      <w:r>
        <w:rPr>
          <w:rFonts w:eastAsia="宋体" w:cs="Noto Sans Arabic UI" w:ascii="Calibri" w:hAnsi="Calibri"/>
          <w:sz w:val="22"/>
          <w:szCs w:val="22"/>
        </w:rPr>
        <w:t>I’m not sure if I wrote this. It can be removed, if this is for the signature assignment analysis.</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microsoft.com/office/2011/relationships/commentsExtended" Target="commentsExtended.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TotalTime>
  <Application>LibreOffice/26.2.2.2$Linux_X86_64 LibreOffice_project/620$Build-2</Application>
  <AppVersion>15.0000</AppVersion>
  <Pages>31</Pages>
  <Words>7117</Words>
  <Characters>43166</Characters>
  <CharactersWithSpaces>50156</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2026-04-16T14:22:00Z</dcterms:created>
  <dc:creator>Mo Liu</dc:creator>
  <dc:description/>
  <dc:language>en-US</dc:language>
  <cp:lastModifiedBy/>
  <cp:lastPrinted>2025-06-06T09:23:00Z</cp:lastPrinted>
  <dcterms:modified xsi:type="dcterms:W3CDTF">2026-04-19T12:37:42Z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