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3"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4">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5">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(Figure 1, Table S1 &lt;rosetta_stone&gt;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highlight w:val="cyan"/>
        </w:rPr>
        <w:t>(</w:t>
      </w:r>
      <w:r>
        <w:rPr>
          <w:rFonts w:eastAsia="宋体"/>
          <w:highlight w:val="cyan"/>
        </w:rPr>
        <w:t>https://indelsigbrowser.shinyapps.io/main/</w:t>
      </w:r>
      <w:r>
        <w:rPr>
          <w:rFonts w:eastAsia="宋体" w:hint="eastAsia"/>
          <w:highlight w:val="cyan"/>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3" w:name="ZOTERO_BREF_sXKgi2ptdMXh"/>
      <w:r>
        <w:rPr/>
        <w:t>(Liu et al. 2023)</w:t>
      </w:r>
      <w:bookmarkEnd w:id="13"/>
      <w:r>
        <w:rPr/>
        <w:t xml:space="preserve">, and a method based on non-negative matrix factorization </w:t>
      </w:r>
      <w:bookmarkStart w:id="14" w:name="ZOTERO_BREF_Ax2rB3g50il2"/>
      <w:r>
        <w:rPr/>
        <w:t>(Islam et al. 2022)</w:t>
      </w:r>
      <w:bookmarkEnd w:id="14"/>
      <w:r>
        <w:rPr/>
        <w:t xml:space="preserve">. The extracted signatures were broadly consistent between the two methods </w:t>
      </w:r>
      <w:r>
        <w:rPr>
          <w:shd w:fill="FFFF00" w:val="clear"/>
        </w:rPr>
        <w:t>(</w:t>
      </w:r>
      <w:r>
        <w:rPr>
          <w:shd w:fill="00FFFF" w:val="clear"/>
        </w:rPr>
        <w:t>Table</w:t>
      </w:r>
      <w:r>
        <w:rPr>
          <w:shd w:fill="00FFFF" w:val="clear"/>
        </w:rPr>
        <w:t>s 1, S2-S8,</w:t>
      </w:r>
      <w:r>
        <w:rPr>
          <w:shd w:fill="FFFF00" w:val="clear"/>
        </w:rPr>
        <w:t xml:space="preserve"> </w:t>
      </w:r>
      <w:r>
        <w:rPr>
          <w:rFonts w:eastAsia="宋体"/>
          <w:highlight w:val="cyan"/>
          <w:shd w:fill="FFFF00" w:val="clear"/>
        </w:rPr>
        <w:t>https://indelsigbrowser.shinyapps.io/main/</w:t>
      </w:r>
      <w:r>
        <w:rPr>
          <w:shd w:fill="auto" w:val="clear"/>
        </w:rPr>
        <w:t xml:space="preserve">). </w:t>
      </w:r>
      <w:r>
        <w:rPr/>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shd w:fill="00FFFF" w:val="clear"/>
        </w:rPr>
        <w:t>)</w:t>
      </w:r>
      <w:r>
        <w:rPr>
          <w:shd w:fill="00FFFF" w:val="clear"/>
        </w:rPr>
        <w:t>,</w:t>
      </w:r>
      <w:r>
        <w:rPr/>
        <w:t xml:space="preserve"> we used tumor mutational spectra dominated by individual signatures to systematically elucidate signature correspondences across classifiation schemes. </w:t>
      </w:r>
      <w:r>
        <w:rPr>
          <w:shd w:fill="00FFFF" w:val="clear"/>
        </w:rPr>
        <w:t>Table 1</w:t>
      </w:r>
      <w:r>
        <w:rPr/>
        <w:t xml:space="preserve"> shows the correspondences, with details and discussion in </w:t>
      </w:r>
      <w:r>
        <w:rPr>
          <w:shd w:fill="00FFFF" w:val="clear"/>
        </w:rPr>
        <w:t>&lt;cite vignette and shiny app&gt;</w:t>
      </w:r>
    </w:p>
    <w:p>
      <w:pPr>
        <w:pStyle w:val="normalfirst"/>
        <w:ind w:firstLine="720"/>
        <w:rPr/>
      </w:pPr>
      <w:r>
        <w:rPr/>
        <w:t xml:space="preserve">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deletions of </w:t>
      </w:r>
      <w:r>
        <w:rPr>
          <w:rFonts w:eastAsia="Liberation Serif" w:cs="Liberation Serif" w:ascii="Liberation Serif" w:hAnsi="Liberation Serif"/>
        </w:rPr>
        <w:t>≥ 8 Ts but are distinguised by InsDel2a’s preference of flanking A bases and InsDelc’s preference for flanking C bases.</w:t>
      </w:r>
      <w:r>
        <w:rPr/>
        <w:t xml:space="preserve"> </w:t>
      </w:r>
      <w:r>
        <w:rPr>
          <w:color w:val="000000"/>
        </w:rPr>
        <w:t xml:space="preserve">Insdel2a and InsDel2b are strongly enriched among MSI-H tumors </w:t>
      </w:r>
      <w:r>
        <w:rPr>
          <w:color w:val="000000"/>
          <w:shd w:fill="00FFFF" w:val="clear"/>
        </w:rPr>
        <w:t>&lt;reference new plot based on fisher test?&gt;</w:t>
      </w:r>
      <w:r>
        <w:rPr>
          <w:color w:val="000000"/>
        </w:rPr>
        <w:t>.</w:t>
      </w:r>
    </w:p>
    <w:p>
      <w:pPr>
        <w:pStyle w:val="normalfirst"/>
        <w:ind w:firstLine="720"/>
        <w:rPr/>
      </w:pPr>
      <w:r>
        <w:rPr/>
        <w:t xml:space="preserve">The ability of the 89 and 476-type systems to distinguish signatures that the 83 type merged was also clear for insertions of single T bases into tracts of </w:t>
      </w:r>
      <w:r>
        <w:rPr>
          <w:rFonts w:eastAsia="Liberation Serif" w:cs="Liberation Serif" w:ascii="Liberation Serif" w:hAnsi="Liberation Serif"/>
        </w:rPr>
        <w:t>≥</w:t>
      </w:r>
      <w:r>
        <w:rP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eastAsia="Liberation Serif" w:cs="Liberation Serif" w:ascii="Liberation Serif" w:hAnsi="Liberation Serif"/>
        </w:rPr>
        <w:t>≥</w:t>
      </w:r>
      <w:r>
        <w:rPr/>
        <w:t xml:space="preserve"> 8T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fill="00FFFF" w:val="clear"/>
        </w:rPr>
        <w:t xml:space="preserve">&lt;references for pole, </w:t>
      </w:r>
      <w:r>
        <w:rPr>
          <w:shd w:fill="00FFFF" w:val="clear"/>
        </w:rPr>
        <w:t>T</w:t>
      </w:r>
      <w:r>
        <w:rPr>
          <w:shd w:fill="00FFFF" w:val="clear"/>
        </w:rPr>
        <w:t xml:space="preserve">able </w:t>
      </w:r>
      <w:r>
        <w:rPr>
          <w:shd w:fill="00FFFF" w:val="clear"/>
        </w:rPr>
        <w:t>S</w:t>
      </w:r>
      <w:r>
        <w:rPr>
          <w:shd w:fill="00FFFF" w:val="clear"/>
        </w:rPr>
        <w:t xml:space="preserve">9, Koh (InD15) </w:t>
      </w:r>
      <w:r>
        <w:rPr>
          <w:shd w:fill="00FFFF" w:val="clear"/>
        </w:rPr>
        <w:t>mabe add cancer type (mostly colon in table S9</w:t>
      </w:r>
      <w:r>
        <w:rPr>
          <w:shd w:fill="00FFFF" w:val="clear"/>
        </w:rPr>
        <w:t>&gt;</w:t>
      </w:r>
      <w:r>
        <w:rPr/>
        <w:t>.</w:t>
      </w:r>
    </w:p>
    <w:p>
      <w:pPr>
        <w:pStyle w:val="normalfirst"/>
        <w:ind w:firstLine="720"/>
        <w:rPr/>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r>
        <w:rPr>
          <w:shd w:fill="00FFFF" w:val="clear"/>
        </w:rPr>
        <w:t>&lt;cite chinese liver cancer paper&gt;.</w:t>
      </w:r>
    </w:p>
    <w:p>
      <w:pPr>
        <w:pStyle w:val="normalfirst"/>
        <w:rPr>
          <w:b/>
          <w:bCs/>
          <w:i/>
          <w:iCs/>
        </w:rPr>
      </w:pPr>
      <w:r>
        <w:rPr>
          <w:b/>
          <w:bCs/>
          <w:i/>
          <w:iCs/>
        </w:rPr>
        <w:t xml:space="preserve">POSSIBLE </w:t>
      </w:r>
      <w:r>
        <w:rPr>
          <w:b/>
          <w:bCs/>
          <w:i/>
          <w:iCs/>
        </w:rPr>
        <w:t xml:space="preserve">PARAGRAPH </w:t>
      </w:r>
      <w:r>
        <w:rPr>
          <w:b w:val="false"/>
          <w:bCs w:val="false"/>
          <w:i/>
          <w:iCs/>
        </w:rPr>
        <w:t>InsDel17 (top2A) vs InsDel8</w:t>
      </w:r>
    </w:p>
    <w:p>
      <w:pPr>
        <w:pStyle w:val="normalfirst"/>
        <w:rPr>
          <w:b/>
          <w:bCs/>
          <w:i/>
          <w:iCs/>
        </w:rPr>
      </w:pPr>
      <w:r>
        <w:rPr>
          <w:b/>
          <w:bCs/>
          <w:i/>
          <w:iCs/>
        </w:rPr>
        <w:t xml:space="preserve">MO DEFINITE </w:t>
      </w:r>
      <w:r>
        <w:rPr>
          <w:b/>
          <w:bCs/>
          <w:i/>
          <w:iCs/>
        </w:rPr>
        <w:t xml:space="preserve">PARAGRAPH: </w:t>
      </w:r>
      <w:r>
        <w:rPr>
          <w:b w:val="false"/>
          <w:bCs w:val="false"/>
          <w:i/>
          <w:iCs/>
        </w:rPr>
        <w:t xml:space="preserve">A_beta looks like apobec in (already known) / a alpha not correlated  A beta is TCA → TA and TCT → TT, SBS2 TCA →  TTA, TCT → TTT SBS13 is TCA → TGA, TCT -&gt;TGT </w:t>
      </w:r>
      <w:hyperlink r:id="rId8">
        <w:r>
          <w:rPr>
            <w:rStyle w:val="Hyperlink"/>
            <w:b w:val="false"/>
            <w:bCs w:val="false"/>
            <w:i/>
            <w:iCs/>
          </w:rPr>
          <w:t>https://www.sciencedirect.com/science/article/pii/S2211124722002996</w:t>
        </w:r>
      </w:hyperlink>
      <w:r>
        <w:rPr>
          <w:rStyle w:val="Hyperlink"/>
          <w:b w:val="false"/>
          <w:bCs w:val="false"/>
          <w:i/>
          <w:iCs/>
        </w:rPr>
        <w:t xml:space="preserve">  </w:t>
      </w:r>
      <w:r>
        <w:rPr>
          <w:b w:val="false"/>
          <w:bCs w:val="false"/>
          <w:i/>
          <w:iCs/>
        </w:rPr>
        <w:t>Koh already cited the paper above; did the paper look at the context -- NO</w:t>
      </w:r>
    </w:p>
    <w:p>
      <w:pPr>
        <w:pStyle w:val="normalfirst"/>
        <w:rPr>
          <w:b/>
          <w:bCs/>
          <w:i/>
          <w:iCs/>
        </w:rPr>
      </w:pPr>
      <w:r>
        <w:rPr>
          <w:b/>
          <w:bCs/>
          <w:i/>
          <w:iCs/>
        </w:rPr>
        <w:t xml:space="preserve">STEVE DEFINITE </w:t>
      </w:r>
      <w:r>
        <w:rPr>
          <w:b/>
          <w:bCs/>
          <w:i/>
          <w:iCs/>
        </w:rPr>
        <w:t xml:space="preserve">PARAGRAPH </w:t>
      </w:r>
      <w:r>
        <w:rPr>
          <w:b w:val="false"/>
          <w:bCs w:val="false"/>
          <w:i/>
          <w:iCs/>
        </w:rPr>
        <w:t>N_beta is the new ID2</w:t>
      </w:r>
    </w:p>
    <w:p>
      <w:pPr>
        <w:pStyle w:val="Normal"/>
        <w:rPr/>
      </w:pP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 &lt;</w:t>
      </w:r>
      <w:r>
        <w:rPr>
          <w:i/>
          <w:iCs/>
          <w:sz w:val="24"/>
          <w:szCs w:val="24"/>
        </w:rPr>
        <w: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Correlation analysis showed that the 89-type signature classification can distinguish more nuanced mutational processes than the 83-type scheme </w:t>
      </w:r>
      <w:r>
        <w:rPr>
          <w:shd w:fill="00FFFF" w:val="clear"/>
        </w:rPr>
        <w:t>&lt;need a visual or a table or something to show “more nuanced” (above) and “improved resolution” (next sentence)&gt;</w:t>
      </w:r>
      <w:r>
        <w:rP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fill="00FFFF" w:val="clear"/>
        </w:rPr>
        <w:t>(Figure 5)</w:t>
      </w:r>
      <w:r>
        <w:rP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pPr>
        <w:pStyle w:val="Heading2"/>
        <w:rPr/>
      </w:pPr>
      <w:r>
        <w:rPr>
          <w:rFonts w:hint="eastAsia"/>
        </w:rPr>
        <w:t>Topography of indel mutational signatures &lt;</w:t>
      </w:r>
      <w:r>
        <w:rPr>
          <w:rFonts w:hint="eastAsia"/>
        </w:rPr>
        <w: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rPr/>
        <w:t xml:space="preserve"> </w:t>
      </w:r>
      <w:r>
        <w:rPr>
          <w:highlight w:val="cyan"/>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highlight w:val="cyan"/>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w:t>
      </w:r>
      <w:r>
        <w:rPr>
          <w:rFonts w:eastAsia="宋体" w:hint="eastAsia"/>
        </w:rPr>
        <w:t>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9">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w:t>
      </w:r>
      <w:r>
        <w:rPr>
          <w:rFonts w:eastAsia="宋体" w:hint="eastAsia"/>
        </w:rPr>
        <w:t>6</w:t>
      </w:r>
      <w:r>
        <w:rPr>
          <w:rFonts w:hint="eastAsia"/>
        </w:rPr>
        <w:t xml:space="preserve"> </w:t>
      </w:r>
      <w:r>
        <w:rPr>
          <w:rFonts w:hint="eastAsia"/>
          <w:highlight w:val="cyan"/>
        </w:rPr>
        <w:t>&lt;OF Prieslty&gt;</w:t>
      </w:r>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eastAsiaTheme="minorEastAsia"/>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0">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normalfirst"/>
        <w:ind w:firstLineChars="200"/>
        <w:rPr/>
      </w:pPr>
      <w:commentRangeStart w:id="0"/>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0"/>
      <w:r>
        <w:commentReference w:id="0"/>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rPr/>
      </w:pPr>
      <w:r>
        <w:rPr/>
      </w:r>
    </w:p>
    <w:p>
      <w:pPr>
        <w:pStyle w:val="Normal"/>
        <w:spacing w:lineRule="auto" w:line="240" w:before="0" w:after="0"/>
        <w:ind w:hanging="0"/>
        <w:rPr/>
      </w:pPr>
      <w:r>
        <w:rPr/>
      </w:r>
      <w:r>
        <w:br w:type="page"/>
      </w:r>
    </w:p>
    <w:tbl>
      <w:tblPr>
        <w:tblStyle w:val="TableGrid"/>
        <w:tblW w:w="935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555"/>
        <w:gridCol w:w="1274"/>
        <w:gridCol w:w="1843"/>
        <w:gridCol w:w="1561"/>
        <w:gridCol w:w="1274"/>
        <w:gridCol w:w="1844"/>
      </w:tblGrid>
      <w:tr>
        <w:trPr>
          <w:trHeight w:val="855" w:hRule="atLeast"/>
        </w:trPr>
        <w:tc>
          <w:tcPr>
            <w:tcW w:w="1555" w:type="dxa"/>
            <w:tcBorders/>
          </w:tcPr>
          <w:p>
            <w:pPr>
              <w:pStyle w:val="Normal"/>
              <w:pageBreakBefore/>
              <w:widowControl/>
              <w:suppressAutoHyphens w:val="true"/>
              <w:spacing w:lineRule="auto" w:line="240" w:before="0" w:after="0"/>
              <w:ind w:hanging="0"/>
              <w:jc w:val="center"/>
              <w:rPr>
                <w:b/>
                <w:bCs/>
              </w:rPr>
            </w:pPr>
            <w:r>
              <w:rPr>
                <w:b/>
                <w:bCs/>
                <w:kern w:val="0"/>
                <w:lang w:val="en-US" w:eastAsia="zh-CN" w:bidi="ar-SA"/>
              </w:rPr>
              <w:t>89</w:t>
            </w:r>
            <w:r>
              <w:rPr>
                <w:rFonts w:eastAsia="宋体" w:hint="eastAsia"/>
                <w:b/>
                <w:bCs/>
                <w:kern w:val="0"/>
                <w:lang w:val="en-US" w:eastAsia="zh-CN" w:bidi="ar-SA"/>
              </w:rPr>
              <w:t>/476</w:t>
            </w:r>
            <w:r>
              <w:rPr>
                <w:b/>
                <w:bCs/>
                <w:kern w:val="0"/>
                <w:lang w:val="en-US" w:eastAsia="zh-CN" w:bidi="ar-SA"/>
              </w:rPr>
              <w:t xml:space="preserve">-Type </w:t>
            </w:r>
            <w:bookmarkStart w:id="19" w:name="OLE_LINK2"/>
            <w:r>
              <w:rPr>
                <w:b/>
                <w:bCs/>
                <w:kern w:val="0"/>
                <w:lang w:val="en-US" w:eastAsia="zh-CN" w:bidi="ar-SA"/>
              </w:rPr>
              <w:t>Signature</w:t>
            </w:r>
            <w:bookmarkEnd w:id="19"/>
          </w:p>
        </w:tc>
        <w:tc>
          <w:tcPr>
            <w:tcW w:w="1274" w:type="dxa"/>
            <w:tcBorders/>
          </w:tcPr>
          <w:p>
            <w:pPr>
              <w:pStyle w:val="Normal"/>
              <w:widowControl/>
              <w:suppressAutoHyphens w:val="true"/>
              <w:spacing w:lineRule="auto" w:line="240" w:before="0" w:after="0"/>
              <w:ind w:hanging="0"/>
              <w:jc w:val="center"/>
              <w:rPr>
                <w:rFonts w:eastAsia="宋体" w:hint="eastAsia"/>
                <w:b/>
                <w:bCs/>
              </w:rPr>
            </w:pPr>
            <w:r>
              <w:rPr>
                <w:b/>
                <w:bCs/>
                <w:kern w:val="0"/>
                <w:lang w:val="en-US" w:eastAsia="zh-CN" w:bidi="ar-SA"/>
              </w:rPr>
              <w:t>83-Type Signature</w:t>
            </w:r>
          </w:p>
        </w:tc>
        <w:tc>
          <w:tcPr>
            <w:tcW w:w="1843" w:type="dxa"/>
            <w:tcBorders/>
          </w:tcPr>
          <w:p>
            <w:pPr>
              <w:pStyle w:val="Normal"/>
              <w:widowControl/>
              <w:suppressAutoHyphens w:val="true"/>
              <w:spacing w:lineRule="auto" w:line="240" w:before="0" w:after="0"/>
              <w:ind w:hanging="0"/>
              <w:jc w:val="center"/>
              <w:rPr>
                <w:b/>
                <w:bCs/>
              </w:rPr>
            </w:pPr>
            <w:r>
              <w:rPr>
                <w:b/>
                <w:bCs/>
                <w:kern w:val="0"/>
                <w:lang w:val="en-US" w:eastAsia="zh-CN" w:bidi="ar-SA"/>
              </w:rPr>
              <w:t>Proposed Etiology</w:t>
            </w:r>
          </w:p>
        </w:tc>
        <w:tc>
          <w:tcPr>
            <w:tcW w:w="1561" w:type="dxa"/>
            <w:tcBorders/>
          </w:tcPr>
          <w:p>
            <w:pPr>
              <w:pStyle w:val="Normal"/>
              <w:widowControl/>
              <w:suppressAutoHyphens w:val="true"/>
              <w:spacing w:lineRule="auto" w:line="240" w:before="0" w:after="0"/>
              <w:ind w:hanging="0"/>
              <w:jc w:val="center"/>
              <w:rPr>
                <w:b/>
                <w:bCs/>
              </w:rPr>
            </w:pPr>
            <w:r>
              <w:rPr>
                <w:b/>
                <w:bCs/>
                <w:kern w:val="0"/>
                <w:lang w:val="en-US" w:eastAsia="zh-CN" w:bidi="ar-SA"/>
              </w:rPr>
              <w:t>89</w:t>
            </w:r>
            <w:r>
              <w:rPr>
                <w:rFonts w:eastAsia="宋体" w:hint="eastAsia"/>
                <w:b/>
                <w:bCs/>
                <w:kern w:val="0"/>
                <w:lang w:val="en-US" w:eastAsia="zh-CN" w:bidi="ar-SA"/>
              </w:rPr>
              <w:t>/476</w:t>
            </w:r>
            <w:r>
              <w:rPr>
                <w:b/>
                <w:bCs/>
                <w:kern w:val="0"/>
                <w:lang w:val="en-US" w:eastAsia="zh-CN" w:bidi="ar-SA"/>
              </w:rPr>
              <w:t>-Type Signature</w:t>
            </w:r>
          </w:p>
        </w:tc>
        <w:tc>
          <w:tcPr>
            <w:tcW w:w="1274" w:type="dxa"/>
            <w:tcBorders/>
          </w:tcPr>
          <w:p>
            <w:pPr>
              <w:pStyle w:val="Normal"/>
              <w:widowControl/>
              <w:suppressAutoHyphens w:val="true"/>
              <w:spacing w:lineRule="auto" w:line="240" w:before="0" w:after="0"/>
              <w:ind w:hanging="0"/>
              <w:jc w:val="center"/>
              <w:rPr>
                <w:b/>
                <w:bCs/>
              </w:rPr>
            </w:pPr>
            <w:r>
              <w:rPr>
                <w:b/>
                <w:bCs/>
                <w:kern w:val="0"/>
                <w:lang w:val="en-US" w:eastAsia="zh-CN" w:bidi="ar-SA"/>
              </w:rPr>
              <w:t>83-Type Signature</w:t>
            </w:r>
          </w:p>
        </w:tc>
        <w:tc>
          <w:tcPr>
            <w:tcW w:w="1844" w:type="dxa"/>
            <w:tcBorders/>
          </w:tcPr>
          <w:p>
            <w:pPr>
              <w:pStyle w:val="Normal"/>
              <w:widowControl/>
              <w:suppressAutoHyphens w:val="true"/>
              <w:spacing w:lineRule="auto" w:line="240" w:before="0" w:after="0"/>
              <w:ind w:hanging="0"/>
              <w:jc w:val="center"/>
              <w:rPr>
                <w:b/>
                <w:bCs/>
              </w:rPr>
            </w:pPr>
            <w:r>
              <w:rPr>
                <w:b/>
                <w:bCs/>
                <w:kern w:val="0"/>
                <w:lang w:val="en-US" w:eastAsia="zh-CN" w:bidi="ar-SA"/>
              </w:rPr>
              <w:t>Proposed Etiology</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InsDel1a</w:t>
            </w:r>
          </w:p>
        </w:tc>
        <w:tc>
          <w:tcPr>
            <w:tcW w:w="1274" w:type="dxa"/>
            <w:vMerge w:val="restart"/>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InsDel16</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C_ID16</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InsDel1b</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POLE and dMMR</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InsDel17</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C_ID17</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TOP2A</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InsDel1c</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POLD1/POLE and dMMR</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InsDel18</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C_ID18</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Colibactin exposure</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InsDel2a</w:t>
            </w:r>
          </w:p>
        </w:tc>
        <w:tc>
          <w:tcPr>
            <w:tcW w:w="1274" w:type="dxa"/>
            <w:vMerge w:val="restart"/>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C_ID2</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dMMR</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InsDel19a</w:t>
            </w:r>
          </w:p>
        </w:tc>
        <w:tc>
          <w:tcPr>
            <w:tcW w:w="1274" w:type="dxa"/>
            <w:vMerge w:val="restart"/>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C_ID19</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InsDel2b</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dMMR</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InsDel19b</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InsDel2c</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dMMR</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InsDel23</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C_ID23</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AA exposure</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InsDel3a</w:t>
            </w:r>
          </w:p>
        </w:tc>
        <w:tc>
          <w:tcPr>
            <w:tcW w:w="1274" w:type="dxa"/>
            <w:vMerge w:val="restart"/>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C_ID3</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InsDel_Aα</w:t>
            </w:r>
          </w:p>
        </w:tc>
        <w:tc>
          <w:tcPr>
            <w:tcW w:w="1274" w:type="dxa"/>
            <w:vMerge w:val="restart"/>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ID_A</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InsDel3b</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Tobacco smoking</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InsDel_Aβ</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APOBEC cytidine deaminases</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InsDel4</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C_ID4</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InsDel_B</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ID_B</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InsDel5a</w:t>
            </w:r>
          </w:p>
        </w:tc>
        <w:tc>
          <w:tcPr>
            <w:tcW w:w="1274" w:type="dxa"/>
            <w:vMerge w:val="restart"/>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C_ID5</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Clock-like</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InsDel_C</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ID_C</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InsDel5b</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InsDel_D</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ID_D</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dMMR</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InsDel5c</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InsDel_E</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ID_E</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InsDel6</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C_ID6</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Defective HR</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InsDel_F</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ID_F</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TOP1-TAM</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InsDel7</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C_ID7**</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dMMR</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InsDel_G</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ID_G</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InsDel8</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C_ID8</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DNA DSB repair by NHEJ</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InsDel_H</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ID_H</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Indirect effect of UV exposure?</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InsDel9</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C_ID9</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InsDel_I</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ID_I</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InsDel10</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C_ID10**</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InsDel_J</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ID_J**</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dMMR</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InsDel11</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C_ID11</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InsDel_K</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ID_K</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POLE and dMMR</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InsDel12</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C_ID12</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InsDel_L</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ID_L</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InsDel13</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C_ID13</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UV exposure</w:t>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InsDel_M</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ID_M</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InsDel14</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C_ID14</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InsDel_Nα</w:t>
            </w:r>
          </w:p>
        </w:tc>
        <w:tc>
          <w:tcPr>
            <w:tcW w:w="1274" w:type="dxa"/>
            <w:vMerge w:val="restart"/>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ID_N</w:t>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POLE and dMMR</w:t>
            </w:r>
          </w:p>
        </w:tc>
      </w:tr>
      <w:tr>
        <w:trPr>
          <w:trHeight w:val="285" w:hRule="atLeast"/>
        </w:trPr>
        <w:tc>
          <w:tcPr>
            <w:tcW w:w="1555"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InsDel15</w:t>
            </w:r>
          </w:p>
        </w:tc>
        <w:tc>
          <w:tcPr>
            <w:tcW w:w="127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C_ID15</w:t>
            </w:r>
          </w:p>
        </w:tc>
        <w:tc>
          <w:tcPr>
            <w:tcW w:w="1843"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561"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t>InsDel_Nβ</w:t>
            </w:r>
          </w:p>
        </w:tc>
        <w:tc>
          <w:tcPr>
            <w:tcW w:w="1274" w:type="dxa"/>
            <w:vMerge w:val="continue"/>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c>
          <w:tcPr>
            <w:tcW w:w="1844" w:type="dxa"/>
            <w:tcBorders/>
            <w:vAlign w:val="center"/>
          </w:tcPr>
          <w:p>
            <w:pPr>
              <w:pStyle w:val="Normal"/>
              <w:widowControl/>
              <w:suppressAutoHyphens w:val="true"/>
              <w:spacing w:lineRule="auto" w:line="240" w:before="0" w:after="0"/>
              <w:ind w:hanging="0"/>
              <w:jc w:val="center"/>
              <w:rPr>
                <w:kern w:val="0"/>
                <w:lang w:val="en-US" w:eastAsia="zh-CN" w:bidi="ar-SA"/>
              </w:rPr>
            </w:pPr>
            <w:r>
              <w:rPr>
                <w:kern w:val="0"/>
                <w:lang w:val="en-US" w:eastAsia="zh-CN" w:bidi="ar-SA"/>
              </w:rPr>
            </w:r>
          </w:p>
        </w:tc>
      </w:tr>
    </w:tbl>
    <w:p>
      <w:pPr>
        <w:pStyle w:val="Normal"/>
        <w:spacing w:before="0" w:after="160"/>
        <w:ind w:hanging="0"/>
        <w:rPr>
          <w:rFonts w:ascii="Calibri" w:hAnsi="Calibri" w:eastAsia="宋体" w:cs="Noto Sans Arabic UI" w:hint="eastAsia"/>
          <w:sz w:val="22"/>
          <w:szCs w:val="22"/>
        </w:rPr>
      </w:pPr>
      <w:r>
        <w:rPr/>
        <w:t xml:space="preserve"> </w:t>
      </w:r>
      <w:r>
        <w:fldChar w:fldCharType="begin"/>
      </w:r>
      <w:r>
        <w:rPr/>
        <w:instrText xml:space="preserve">LINK Excel.Sheet.12 "C:\\Users\\lmliu\\Downloads\\table_1_autogenerated (1).xlsx" "Sheet1!R1C1:R23C6" \a \f 5 \h  \* MERGEFORMAT</w:instrText>
      </w:r>
      <w:r>
        <w:rPr/>
      </w:r>
      <w:r>
        <w:rPr/>
        <w:fldChar w:fldCharType="separate"/>
      </w:r>
      <w:r>
        <w:rPr/>
      </w:r>
      <w:r/>
      <w:r>
        <w:rPr/>
        <w:fldChar w:fldCharType="end"/>
      </w:r>
      <w:r>
        <w:rPr/>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4-07T16:27:00Z" w:initials="ML">
    <w:p>
      <w:pPr>
        <w:overflowPunct w:val="true"/>
        <w:spacing w:lineRule="auto" w:line="240" w:before="0" w:after="0"/>
        <w:rPr/>
      </w:pPr>
      <w:r>
        <w:annotationRef/>
      </w:r>
      <w:r>
        <w:rPr>
          <w:rFonts w:eastAsia="宋体" w:cs="Noto Sans Arabic UI" w:ascii="Calibri" w:hAnsi="Calibri"/>
          <w:sz w:val="22"/>
          <w:szCs w:val="22"/>
        </w:rPr>
        <w:t>To Steve: Please check if you edited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340d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manusights.com/blog/cell-formatting-requirements" TargetMode="External"/><Relationship Id="rId4" Type="http://schemas.openxmlformats.org/officeDocument/2006/relationships/hyperlink" Target="https://www.cell.com/cell-genomics/information-for-authors/article-types" TargetMode="External"/><Relationship Id="rId5" Type="http://schemas.openxmlformats.org/officeDocument/2006/relationships/hyperlink" Target="https://manusights.com/blog/cell-formatting-requirements" TargetMode="External"/><Relationship Id="rId6" Type="http://schemas.openxmlformats.org/officeDocument/2006/relationships/hyperlink" Target="https://www.cell.com/multi-journal-submission/authors" TargetMode="External"/><Relationship Id="rId7" Type="http://schemas.openxmlformats.org/officeDocument/2006/relationships/hyperlink" Target="https://www.cell.com/cell/information-for-authors/article-types" TargetMode="External"/><Relationship Id="rId8" Type="http://schemas.openxmlformats.org/officeDocument/2006/relationships/hyperlink" Target="https://www.sciencedirect.com/science/article/pii/S2211124722002996" TargetMode="External"/><Relationship Id="rId9" Type="http://schemas.openxmlformats.org/officeDocument/2006/relationships/hyperlink" Target="https://dcc.icgc.org/releases/current/Projects/"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LibreOffice/26.2.2.2$Linux_X86_64 LibreOffice_project/620$Build-2</Application>
  <AppVersion>15.0000</AppVersion>
  <Pages>31</Pages>
  <Words>7438</Words>
  <Characters>44944</Characters>
  <CharactersWithSpaces>52155</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2026-05-14T11:31:00Z</dcterms:created>
  <dc:creator>Mo Liu</dc:creator>
  <dc:description/>
  <dc:language>en-US</dc:language>
  <cp:lastModifiedBy/>
  <cp:lastPrinted>2025-06-06T09:23:00Z</cp:lastPrinted>
  <dcterms:modified xsi:type="dcterms:W3CDTF">2026-05-14T21:16:54Z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