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E6D14" w14:textId="77777777" w:rsidR="00CA05B3" w:rsidRDefault="00000000">
      <w:pPr>
        <w:pStyle w:val="Title"/>
      </w:pPr>
      <w:r>
        <w:t>A unified 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09CB8178" w14:textId="77777777" w:rsidR="00CA05B3" w:rsidRDefault="00000000">
      <w:pPr>
        <w:pStyle w:val="authorsandaff"/>
        <w:spacing w:after="240"/>
      </w:pPr>
      <w:r>
        <w:t>Mo Liu</w:t>
      </w:r>
      <w:r>
        <w:rPr>
          <w:rFonts w:hint="eastAsia"/>
        </w:rPr>
        <w:t>1*#</w:t>
      </w:r>
      <w:r>
        <w:t>,</w:t>
      </w:r>
      <w:r>
        <w:rPr>
          <w:rFonts w:hint="eastAsia"/>
        </w:rPr>
        <w:t xml:space="preserve"> Mi Ni Huang2*,</w:t>
      </w:r>
      <w:r>
        <w:t xml:space="preserve"> Xue Ming Wu1, Qi Zheng</w:t>
      </w:r>
      <w:r>
        <w:rPr>
          <w:rFonts w:hint="eastAsia"/>
        </w:rPr>
        <w:t xml:space="preserve">1, </w:t>
      </w:r>
      <w:r>
        <w:t>Runtian Yao</w:t>
      </w:r>
      <w:r>
        <w:rPr>
          <w:rFonts w:hint="eastAsia"/>
        </w:rPr>
        <w:t>2</w:t>
      </w:r>
      <w:r>
        <w:t xml:space="preserve">, </w:t>
      </w:r>
      <w:r>
        <w:rPr>
          <w:rFonts w:hint="eastAsia"/>
        </w:rPr>
        <w:t xml:space="preserve">Ying Yang1, Runxi Shen3, </w:t>
      </w:r>
      <w:r>
        <w:t>Steven G. Rozen4</w:t>
      </w:r>
      <w:r>
        <w:rPr>
          <w:rFonts w:hint="eastAsia"/>
        </w:rPr>
        <w:t>#</w:t>
      </w:r>
    </w:p>
    <w:p w14:paraId="5F328CF8" w14:textId="77777777" w:rsidR="00CA05B3" w:rsidRDefault="00000000">
      <w:pPr>
        <w:pStyle w:val="authorsandaff"/>
      </w:pPr>
      <w:r>
        <w:t xml:space="preserve">1 Sino-French Hoffmann Institute, School of Basic Medical Sciences, </w:t>
      </w:r>
      <w:r>
        <w:rPr>
          <w:rFonts w:eastAsia="宋体" w:hint="eastAsia"/>
        </w:rPr>
        <w:t xml:space="preserve">The First Affiliated Hospital, Guangzhou </w:t>
      </w:r>
      <w:r>
        <w:t>Medical University, Guangzhou, Guangdong 511436, China</w:t>
      </w:r>
    </w:p>
    <w:p w14:paraId="3156DEA9" w14:textId="77777777" w:rsidR="00CA05B3" w:rsidRDefault="00000000">
      <w:pPr>
        <w:pStyle w:val="authorsandaff"/>
      </w:pPr>
      <w:r>
        <w:rPr>
          <w:rFonts w:hint="eastAsia"/>
        </w:rPr>
        <w:t xml:space="preserve">2 </w:t>
      </w:r>
      <w:r>
        <w:t>Molecular Cancer Research Center, School of Medicine, Shenzhen Campus of Sun Yat-</w:t>
      </w:r>
      <w:r>
        <w:rPr>
          <w:rFonts w:hint="eastAsia"/>
        </w:rPr>
        <w:t>S</w:t>
      </w:r>
      <w:r>
        <w:t>en University, Sun Yat-sen University, Shenzhen, 518107, China</w:t>
      </w:r>
    </w:p>
    <w:p w14:paraId="6CA8C7B1" w14:textId="77777777" w:rsidR="00CA05B3" w:rsidRDefault="00000000">
      <w:pPr>
        <w:pStyle w:val="authorsandaff"/>
      </w:pPr>
      <w:r>
        <w:rPr>
          <w:rFonts w:hint="eastAsia"/>
        </w:rPr>
        <w:t xml:space="preserve">3 </w:t>
      </w:r>
      <w:r>
        <w:t>Imaging Platform, Broad Institute of Harvard and MIT, Cambridge, Massachusetts, United States</w:t>
      </w:r>
    </w:p>
    <w:p w14:paraId="2201CA63" w14:textId="77777777" w:rsidR="00CA05B3" w:rsidRDefault="00000000">
      <w:pPr>
        <w:pStyle w:val="authorsandaff"/>
      </w:pPr>
      <w:r>
        <w:rPr>
          <w:rFonts w:hint="eastAsia"/>
        </w:rPr>
        <w:t>4</w:t>
      </w:r>
      <w:r>
        <w:t xml:space="preserve"> Department of Biostatistics and Bioinformatics, Duke University School of Medicine, Durham, North Carolina, 27710, United States</w:t>
      </w:r>
    </w:p>
    <w:p w14:paraId="39BDFFD2" w14:textId="77777777" w:rsidR="00CA05B3" w:rsidRDefault="00000000">
      <w:pPr>
        <w:pStyle w:val="authorsandaff"/>
      </w:pPr>
      <w:r>
        <w:t xml:space="preserve"># Corresponding authors: E-mails: </w:t>
      </w:r>
      <w:hyperlink r:id="rId7">
        <w:r w:rsidR="00CA05B3">
          <w:rPr>
            <w:rFonts w:hint="eastAsia"/>
          </w:rPr>
          <w:t>mo.liu@gzhmu.edu.cn</w:t>
        </w:r>
      </w:hyperlink>
      <w:r>
        <w:rPr>
          <w:rFonts w:hint="eastAsia"/>
        </w:rPr>
        <w:t>, steverozen@pm.me</w:t>
      </w:r>
    </w:p>
    <w:p w14:paraId="490BFC8C" w14:textId="77777777" w:rsidR="00CA05B3" w:rsidRDefault="00CA05B3"/>
    <w:p w14:paraId="6BE457DB" w14:textId="77777777" w:rsidR="00CA05B3" w:rsidRDefault="00CA05B3"/>
    <w:p w14:paraId="320B53F6" w14:textId="77777777" w:rsidR="00CA05B3" w:rsidRDefault="00000000">
      <w:pPr>
        <w:rPr>
          <w:rFonts w:eastAsia="宋体"/>
          <w:sz w:val="20"/>
          <w:szCs w:val="20"/>
        </w:rPr>
      </w:pPr>
      <w:r>
        <w:rPr>
          <w:sz w:val="20"/>
          <w:szCs w:val="20"/>
        </w:rPr>
        <w:t>Notes: 7 display items allowed</w:t>
      </w:r>
      <w:r>
        <w:rPr>
          <w:rFonts w:eastAsia="宋体" w:hint="eastAsia"/>
          <w:sz w:val="20"/>
          <w:szCs w:val="20"/>
        </w:rPr>
        <w:t xml:space="preserve"> (We will have 1 table and 6 main figures)</w:t>
      </w:r>
    </w:p>
    <w:p w14:paraId="77A0D151" w14:textId="77777777" w:rsidR="00CA05B3" w:rsidRDefault="00000000">
      <w:pPr>
        <w:pStyle w:val="BodyText"/>
      </w:pPr>
      <w:r>
        <w:rPr>
          <w:rStyle w:val="Strong"/>
          <w:rFonts w:ascii="Google Sans;Roboto;Arial;sans-s" w:hAnsi="Google Sans;Roboto;Arial;sans-s"/>
          <w:sz w:val="20"/>
          <w:szCs w:val="20"/>
        </w:rPr>
        <w:t>Word Count</w:t>
      </w:r>
      <w:r>
        <w:rPr>
          <w:rFonts w:ascii="Google Sans;Roboto;Arial;sans-s" w:hAnsi="Google Sans;Roboto;Arial;sans-s"/>
          <w:sz w:val="20"/>
          <w:szCs w:val="20"/>
        </w:rPr>
        <w:t xml:space="preserve">: The main text should be under </w:t>
      </w:r>
      <w:r>
        <w:rPr>
          <w:rStyle w:val="Strong"/>
          <w:rFonts w:ascii="Google Sans;Roboto;Arial;sans-s" w:hAnsi="Google Sans;Roboto;Arial;sans-s"/>
          <w:sz w:val="20"/>
          <w:szCs w:val="20"/>
        </w:rPr>
        <w:t>7,000 words</w:t>
      </w:r>
      <w:r>
        <w:rPr>
          <w:rFonts w:ascii="Google Sans;Roboto;Arial;sans-s" w:hAnsi="Google Sans;Roboto;Arial;sans-s"/>
          <w:sz w:val="20"/>
          <w:szCs w:val="20"/>
        </w:rPr>
        <w:t>. This count includes the figure legends but excludes the STAR Methods, supplemental legends, and references.</w:t>
      </w:r>
    </w:p>
    <w:p w14:paraId="6F8AFF2B" w14:textId="77777777" w:rsidR="00CA05B3" w:rsidRDefault="00000000">
      <w:pPr>
        <w:pStyle w:val="BodyText"/>
        <w:numPr>
          <w:ilvl w:val="0"/>
          <w:numId w:val="3"/>
        </w:numPr>
        <w:tabs>
          <w:tab w:val="clear" w:pos="720"/>
          <w:tab w:val="left" w:pos="0"/>
        </w:tabs>
        <w:spacing w:after="0" w:line="480" w:lineRule="auto"/>
      </w:pPr>
      <w:r>
        <w:rPr>
          <w:rStyle w:val="Strong"/>
          <w:rFonts w:ascii="Google Sans;Roboto;Arial;sans-s" w:hAnsi="Google Sans;Roboto;Arial;sans-s"/>
          <w:sz w:val="20"/>
          <w:szCs w:val="20"/>
        </w:rPr>
        <w:t>Supplemental Items</w:t>
      </w:r>
      <w:r>
        <w:rPr>
          <w:rFonts w:ascii="Google Sans;Roboto;Arial;sans-s" w:hAnsi="Google Sans;Roboto;Arial;sans-s"/>
          <w:sz w:val="20"/>
          <w:szCs w:val="20"/>
        </w:rPr>
        <w:t xml:space="preserve">: You may include additional display items as supplemental information at the editor's discretion. For </w:t>
      </w:r>
      <w:r>
        <w:rPr>
          <w:rStyle w:val="Emphasis"/>
          <w:rFonts w:ascii="Google Sans;Roboto;Arial;sans-s" w:hAnsi="Google Sans;Roboto;Arial;sans-s"/>
          <w:sz w:val="20"/>
          <w:szCs w:val="20"/>
        </w:rPr>
        <w:t>Cell</w:t>
      </w:r>
      <w:r>
        <w:rPr>
          <w:rFonts w:ascii="Google Sans;Roboto;Arial;sans-s" w:hAnsi="Google Sans;Roboto;Arial;sans-s"/>
          <w:sz w:val="20"/>
          <w:szCs w:val="20"/>
        </w:rPr>
        <w:t xml:space="preserve"> Research Articles, this is often up to 7 supplemental figures.</w:t>
      </w:r>
    </w:p>
    <w:p w14:paraId="426C0071" w14:textId="77777777" w:rsidR="00CA05B3" w:rsidRDefault="00000000">
      <w:pPr>
        <w:pStyle w:val="BodyText"/>
        <w:numPr>
          <w:ilvl w:val="0"/>
          <w:numId w:val="4"/>
        </w:numPr>
        <w:tabs>
          <w:tab w:val="clear" w:pos="720"/>
          <w:tab w:val="left" w:pos="0"/>
        </w:tabs>
        <w:spacing w:after="0" w:line="480" w:lineRule="auto"/>
      </w:pPr>
      <w:r>
        <w:rPr>
          <w:rStyle w:val="Strong"/>
          <w:rFonts w:ascii="Google Sans;Roboto;Arial;sans-s" w:hAnsi="Google Sans;Roboto;Arial;sans-s"/>
          <w:sz w:val="20"/>
          <w:szCs w:val="20"/>
        </w:rPr>
        <w:t>Mandatory Items</w:t>
      </w:r>
      <w:r>
        <w:rPr>
          <w:rFonts w:ascii="Google Sans;Roboto;Arial;sans-s" w:hAnsi="Google Sans;Roboto;Arial;sans-s"/>
          <w:sz w:val="20"/>
          <w:szCs w:val="20"/>
        </w:rPr>
        <w:t xml:space="preserve">: You must also include a </w:t>
      </w:r>
      <w:hyperlink r:id="rId8" w:tgtFrame="_blank">
        <w:r w:rsidR="00CA05B3">
          <w:rPr>
            <w:rStyle w:val="Hyperlink"/>
            <w:rFonts w:ascii="Google Sans;Roboto;Arial;sans-s" w:hAnsi="Google Sans;Roboto;Arial;sans-s"/>
            <w:b/>
            <w:sz w:val="20"/>
            <w:szCs w:val="20"/>
          </w:rPr>
          <w:t>Graphical Abstract</w:t>
        </w:r>
      </w:hyperlink>
      <w:r>
        <w:rPr>
          <w:rFonts w:ascii="Google Sans;Roboto;Arial;sans-s" w:hAnsi="Google Sans;Roboto;Arial;sans-s"/>
          <w:sz w:val="20"/>
          <w:szCs w:val="20"/>
        </w:rPr>
        <w:t xml:space="preserve"> (exactly 1,200 x 1,200 pixels) and 3–4 Highlights (each 85 characters or fewer). [</w:t>
      </w:r>
      <w:hyperlink r:id="rId9">
        <w:r w:rsidR="00CA05B3">
          <w:rPr>
            <w:rStyle w:val="Hyperlink"/>
            <w:rFonts w:ascii="Google Sans;Roboto;Arial;sans-s" w:hAnsi="Google Sans;Roboto;Arial;sans-s"/>
            <w:sz w:val="20"/>
            <w:szCs w:val="20"/>
            <w:u w:val="none"/>
          </w:rPr>
          <w:t>1</w:t>
        </w:r>
      </w:hyperlink>
      <w:r>
        <w:rPr>
          <w:rFonts w:ascii="Google Sans;Roboto;Arial;sans-s" w:hAnsi="Google Sans;Roboto;Arial;sans-s"/>
          <w:sz w:val="20"/>
          <w:szCs w:val="20"/>
        </w:rPr>
        <w:t xml:space="preserve">, </w:t>
      </w:r>
      <w:hyperlink r:id="rId10">
        <w:r w:rsidR="00CA05B3">
          <w:rPr>
            <w:rStyle w:val="Hyperlink"/>
            <w:rFonts w:ascii="Google Sans;Roboto;Arial;sans-s" w:hAnsi="Google Sans;Roboto;Arial;sans-s"/>
            <w:sz w:val="20"/>
            <w:szCs w:val="20"/>
            <w:u w:val="none"/>
          </w:rPr>
          <w:t>2</w:t>
        </w:r>
      </w:hyperlink>
      <w:r>
        <w:rPr>
          <w:rFonts w:ascii="Google Sans;Roboto;Arial;sans-s" w:hAnsi="Google Sans;Roboto;Arial;sans-s"/>
          <w:sz w:val="20"/>
          <w:szCs w:val="20"/>
        </w:rPr>
        <w:t xml:space="preserve">, </w:t>
      </w:r>
      <w:hyperlink r:id="rId11">
        <w:r w:rsidR="00CA05B3">
          <w:rPr>
            <w:rStyle w:val="Hyperlink"/>
            <w:rFonts w:ascii="Google Sans;Roboto;Arial;sans-s" w:hAnsi="Google Sans;Roboto;Arial;sans-s"/>
            <w:sz w:val="20"/>
            <w:szCs w:val="20"/>
            <w:u w:val="none"/>
          </w:rPr>
          <w:t>3</w:t>
        </w:r>
      </w:hyperlink>
      <w:r>
        <w:rPr>
          <w:rFonts w:ascii="Google Sans;Roboto;Arial;sans-s" w:hAnsi="Google Sans;Roboto;Arial;sans-s"/>
          <w:sz w:val="20"/>
          <w:szCs w:val="20"/>
        </w:rPr>
        <w:t xml:space="preserve">, </w:t>
      </w:r>
      <w:hyperlink r:id="rId12">
        <w:r w:rsidR="00CA05B3">
          <w:rPr>
            <w:rStyle w:val="Hyperlink"/>
            <w:rFonts w:ascii="Google Sans;Roboto;Arial;sans-s" w:hAnsi="Google Sans;Roboto;Arial;sans-s"/>
            <w:sz w:val="20"/>
            <w:szCs w:val="20"/>
            <w:u w:val="none"/>
          </w:rPr>
          <w:t>4</w:t>
        </w:r>
      </w:hyperlink>
      <w:r>
        <w:rPr>
          <w:rFonts w:ascii="Google Sans;Roboto;Arial;sans-s" w:hAnsi="Google Sans;Roboto;Arial;sans-s"/>
          <w:sz w:val="20"/>
          <w:szCs w:val="20"/>
        </w:rPr>
        <w:t>]</w:t>
      </w:r>
      <w:r>
        <w:br w:type="page"/>
      </w:r>
    </w:p>
    <w:p w14:paraId="4459D793" w14:textId="77777777" w:rsidR="00CA05B3" w:rsidRDefault="00000000">
      <w:pPr>
        <w:pStyle w:val="Heading1"/>
        <w:spacing w:before="0"/>
      </w:pPr>
      <w:r>
        <w:rPr>
          <w:rFonts w:hint="eastAsia"/>
        </w:rPr>
        <w:lastRenderedPageBreak/>
        <w:t>Summary</w:t>
      </w:r>
    </w:p>
    <w:p w14:paraId="45B00B27" w14:textId="77777777" w:rsidR="00CA05B3" w:rsidRDefault="00000000">
      <w:pPr>
        <w:pStyle w:val="Heading1"/>
        <w:spacing w:before="0"/>
        <w:rPr>
          <w:b w:val="0"/>
          <w:bCs w:val="0"/>
        </w:rPr>
      </w:pPr>
      <w:r>
        <w:rPr>
          <w:rFonts w:hint="eastAsia"/>
          <w:b w:val="0"/>
          <w:bCs w:val="0"/>
        </w:rPr>
        <w:t>We present a unified repertoire of indel mutational signatures in 6,975 tumors across 32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vcf files.</w:t>
      </w:r>
    </w:p>
    <w:p w14:paraId="0DA8AE76" w14:textId="77777777" w:rsidR="00CA05B3" w:rsidRDefault="00000000">
      <w:pPr>
        <w:pStyle w:val="Heading1"/>
        <w:spacing w:before="0"/>
      </w:pPr>
      <w:r>
        <w:rPr>
          <w:rFonts w:hint="eastAsia"/>
        </w:rPr>
        <w:t>150</w:t>
      </w:r>
      <w:r>
        <w:br w:type="page"/>
      </w:r>
    </w:p>
    <w:p w14:paraId="1B39AFCC" w14:textId="77777777" w:rsidR="00CA05B3" w:rsidRDefault="00000000">
      <w:pPr>
        <w:pStyle w:val="Heading1"/>
        <w:spacing w:before="0"/>
      </w:pPr>
      <w:r>
        <w:lastRenderedPageBreak/>
        <w:t>Introduction</w:t>
      </w:r>
    </w:p>
    <w:p w14:paraId="0F19F12A" w14:textId="77777777" w:rsidR="00CA05B3"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2" w:name="ZOTERO_BREF_IM4gJ3yQ6hq2"/>
      <w:r>
        <w:t>(Alexandrov et al. 2016; Ng et al. 2017; Dziubańska-Kusibab et al. 2020; Boot et al. 2020)</w:t>
      </w:r>
      <w:bookmarkEnd w:id="2"/>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714599BE" w14:textId="77777777" w:rsidR="00CA05B3"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3" w:name="ZOTERO_BREF_97iR0u2ckHXQ"/>
      <w:r>
        <w:t>(Boot et al. 2018; M. N. Huang et al. 2017; Kucab et al. 2019; Caipa Garcia et al. 2024; Riva et al. 2020)</w:t>
      </w:r>
      <w:bookmarkEnd w:id="3"/>
      <w: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t>(Hoang et al. 2013; Poon et al. 2013)</w:t>
      </w:r>
      <w:bookmarkEnd w:id="5"/>
      <w:r>
        <w:rPr>
          <w:rFonts w:hint="eastAsia"/>
        </w:rPr>
        <w:t>.</w:t>
      </w:r>
      <w:r>
        <w:t xml:space="preserve"> Subsequent analysis revealed that this signature was also present in bladder, kidney, and liver cancers</w:t>
      </w:r>
      <w:r>
        <w:rPr>
          <w:rFonts w:hint="eastAsia"/>
        </w:rPr>
        <w:t xml:space="preserve"> </w:t>
      </w:r>
      <w:bookmarkStart w:id="6" w:name="ZOTERO_BREF_NhmgMLG5UTqp"/>
      <w:r>
        <w:t>(Ng et al. 2017; Poon et al. 2015)</w:t>
      </w:r>
      <w:bookmarkEnd w:id="6"/>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w:t>
      </w:r>
      <w:r>
        <w:lastRenderedPageBreak/>
        <w:t>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t>(Chen et al. 2024)</w:t>
      </w:r>
      <w:bookmarkEnd w:id="7"/>
      <w:r>
        <w:rPr>
          <w:rFonts w:hint="eastAsia"/>
        </w:rPr>
        <w:t>.</w:t>
      </w:r>
    </w:p>
    <w:p w14:paraId="162804CA" w14:textId="77777777" w:rsidR="00CA05B3" w:rsidRDefault="00000000">
      <w: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t>(M. Huang et al. 2015; Davies et al. 2017; Koh et al. 2025)</w:t>
      </w:r>
      <w:bookmarkEnd w:id="8"/>
      <w:r>
        <w:t xml:space="preserve"> and a rare indel hypermutator phenotype due to a mutation in topoisomerase 2 alpha </w:t>
      </w:r>
      <w:bookmarkStart w:id="9" w:name="ZOTERO_BREF_D2iecPnvmjdB"/>
      <w:r>
        <w:t>(Boot et al. 2022)</w:t>
      </w:r>
      <w:bookmarkEnd w:id="9"/>
      <w:r>
        <w:rPr>
          <w:rStyle w:val="normalfirstChar"/>
        </w:rPr>
        <w:t xml:space="preserve">. </w:t>
      </w:r>
    </w:p>
    <w:p w14:paraId="184C691D" w14:textId="77777777" w:rsidR="00CA05B3" w:rsidRDefault="00000000">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0" w:name="ZOTERO_BREF_2bTJlJjriYWb"/>
      <w:r>
        <w:t>(Koh et al. 2025)</w:t>
      </w:r>
      <w:bookmarkEnd w:id="10"/>
      <w:r>
        <w:t xml:space="preserve"> proposed two classification schemes, one with 89 types of indel and one with 476 types (Figure 1). </w:t>
      </w:r>
    </w:p>
    <w:p w14:paraId="46694C0F" w14:textId="77777777" w:rsidR="00CA05B3" w:rsidRDefault="00000000">
      <w: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t>(Rozen 2026)</w:t>
      </w:r>
      <w:bookmarkEnd w:id="11"/>
      <w: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w:t>
      </w:r>
      <w:r>
        <w:rPr>
          <w:rFonts w:hint="eastAsia"/>
        </w:rPr>
        <w:t xml:space="preserve"> </w:t>
      </w:r>
      <w:r>
        <w:rPr>
          <w:rFonts w:hint="eastAsia"/>
        </w:rPr>
        <w:t>≥</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w:t>
      </w:r>
      <w:r>
        <w:lastRenderedPageBreak/>
        <w:t>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w:t>
      </w:r>
      <w:r>
        <w:rPr>
          <w:rFonts w:hint="eastAsia"/>
        </w:rPr>
        <w:t>→</w:t>
      </w:r>
      <w:r>
        <w:rPr>
          <w:rFonts w:hint="eastAsia"/>
        </w:rPr>
        <w:t>A</w:t>
      </w:r>
      <w:r>
        <w:rPr>
          <w:b/>
          <w:bCs/>
        </w:rPr>
        <w:t>CA</w:t>
      </w:r>
      <w:r>
        <w:rPr>
          <w:rFonts w:hint="eastAsia"/>
        </w:rPr>
        <w:t>GG) exhibits a 2-b</w:t>
      </w:r>
      <w:r>
        <w:t>ase</w:t>
      </w:r>
      <w:r>
        <w:rPr>
          <w:rFonts w:hint="eastAsia"/>
        </w:rPr>
        <w:t xml:space="preserve"> microhomology (CA)</w:t>
      </w:r>
      <w:r>
        <w:t xml:space="preserve">. </w:t>
      </w:r>
    </w:p>
    <w:p w14:paraId="5097C313" w14:textId="77777777" w:rsidR="00CA05B3" w:rsidRDefault="00000000">
      <w:r>
        <w:t xml:space="preserve">One of the new classification schemes is based on 476 types of indel and one is based on 89 types, which mainly consolidates similar mutation types in the 476-type classification into coarser-grained mutation types </w:t>
      </w:r>
      <w:bookmarkStart w:id="12" w:name="ZOTERO_BREF_6zFIi2vPZWZ4"/>
      <w:r>
        <w:t>(Koh et al. 2025)</w:t>
      </w:r>
      <w:bookmarkEnd w:id="12"/>
      <w:r>
        <w:t xml:space="preserve"> </w:t>
      </w:r>
      <w:r>
        <w:rPr>
          <w:shd w:val="clear" w:color="auto" w:fill="00FFFF"/>
        </w:rPr>
        <w:t>(Figure 1, Table S1 &lt;rosetta_stone&gt; )</w:t>
      </w:r>
      <w:r>
        <w:rPr>
          <w:color w:val="000000"/>
        </w:rPr>
        <w:t>.</w:t>
      </w:r>
      <w: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14:paraId="692391C2" w14:textId="77777777" w:rsidR="00CA05B3" w:rsidRDefault="00000000">
      <w:r>
        <w:t xml:space="preserve">For example, the 83-type classification distinguishes deletions of single Ts only by the number of T’s at the site of the deletion: 1, 2, 3, 4, 5, or </w:t>
      </w:r>
      <w:r>
        <w:rPr>
          <w:rFonts w:ascii="Liberation Serif" w:eastAsia="Liberation Serif" w:hAnsi="Liberation Serif" w:cs="Liberation Serif"/>
        </w:rPr>
        <w:t>≥</w:t>
      </w:r>
      <w:r>
        <w:t xml:space="preserve"> 6 Ts </w:t>
      </w:r>
      <w:r>
        <w:rPr>
          <w:shd w:val="clear" w:color="auto" w:fill="00FFFF"/>
        </w:rPr>
        <w:t>(Figure 1A)</w:t>
      </w:r>
      <w: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ascii="DejaVu Sans" w:hAnsi="DejaVu Sans" w:cs="DejaVu Sans" w:hint="eastAsia"/>
        </w:rPr>
        <w:t>→</w:t>
      </w:r>
      <w:r>
        <w:t>AA or ATTA</w:t>
      </w:r>
      <w:r>
        <w:rPr>
          <w:rFonts w:ascii="DejaVu Sans" w:hAnsi="DejaVu Sans" w:cs="DejaVu Sans" w:hint="eastAsia"/>
        </w:rPr>
        <w:t>→</w:t>
      </w:r>
      <w:r>
        <w:t>ATA are distinguished from deletions of CTA</w:t>
      </w:r>
      <w:r>
        <w:rPr>
          <w:rFonts w:ascii="DejaVu Sans" w:hAnsi="DejaVu Sans" w:cs="DejaVu Sans" w:hint="eastAsia"/>
        </w:rPr>
        <w:t>→</w:t>
      </w:r>
      <w:r>
        <w:t>CA or CTTA</w:t>
      </w:r>
      <w:r>
        <w:rPr>
          <w:rFonts w:ascii="DejaVu Sans" w:hAnsi="DejaVu Sans" w:cs="DejaVu Sans" w:hint="eastAsia"/>
        </w:rPr>
        <w:t>→</w:t>
      </w:r>
      <w:r>
        <w:t>CTA, but the deletions CTA</w:t>
      </w:r>
      <w:r>
        <w:rPr>
          <w:rFonts w:ascii="DejaVu Sans" w:hAnsi="DejaVu Sans" w:cs="DejaVu Sans" w:hint="eastAsia"/>
        </w:rPr>
        <w:t>→</w:t>
      </w:r>
      <w:r>
        <w:t>CA and CTTTTA</w:t>
      </w:r>
      <w:r>
        <w:rPr>
          <w:rFonts w:ascii="DejaVu Sans" w:hAnsi="DejaVu Sans" w:cs="DejaVu Sans" w:hint="eastAsia"/>
        </w:rPr>
        <w:t>→</w:t>
      </w:r>
      <w: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ascii="DejaVu Sans" w:hAnsi="DejaVu Sans" w:cs="DejaVu Sans" w:hint="eastAsia"/>
        </w:rPr>
        <w:t>→</w:t>
      </w:r>
      <w:r>
        <w:t>AA, CTA</w:t>
      </w:r>
      <w:r>
        <w:rPr>
          <w:rFonts w:ascii="DejaVu Sans" w:hAnsi="DejaVu Sans" w:cs="DejaVu Sans" w:hint="eastAsia"/>
        </w:rPr>
        <w:t>→</w:t>
      </w:r>
      <w:r>
        <w:t>CA, and GTA</w:t>
      </w:r>
      <w:r>
        <w:rPr>
          <w:rFonts w:ascii="DejaVu Sans" w:hAnsi="DejaVu Sans" w:cs="DejaVu Sans" w:hint="eastAsia"/>
        </w:rPr>
        <w:t>→</w:t>
      </w:r>
      <w:r>
        <w:t xml:space="preserve">GA. The classifications of indels of 2 or more bases are less intuitive. </w:t>
      </w:r>
      <w:r>
        <w:rPr>
          <w:shd w:val="clear" w:color="auto" w:fill="00FFFF"/>
        </w:rPr>
        <w:t>Table S1 &lt;rosetta stone&gt;</w:t>
      </w:r>
      <w:r>
        <w:t xml:space="preserve"> provides a mapping from </w:t>
      </w:r>
      <w:r>
        <w:lastRenderedPageBreak/>
        <w:t xml:space="preserve">the 476-type classification to the 89 and 83-type classifications, as well as multiple examples of each category of deletion. </w:t>
      </w:r>
    </w:p>
    <w:p w14:paraId="149BA1DC" w14:textId="5079EAD6" w:rsidR="00CA05B3" w:rsidRDefault="00000000">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t>asymmetry</w:t>
      </w:r>
      <w:r>
        <w:rPr>
          <w:rFonts w:hint="eastAsia"/>
        </w:rPr>
        <w:t xml:space="preserve"> between leading and lagging </w:t>
      </w:r>
      <w: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sidR="00F6674F">
        <w:rPr>
          <w:rFonts w:eastAsia="宋体" w:hint="eastAsia"/>
        </w:rPr>
        <w:t xml:space="preserve"> </w:t>
      </w:r>
      <w:r w:rsidR="00F6674F" w:rsidRPr="00F6674F">
        <w:rPr>
          <w:rFonts w:eastAsia="宋体" w:hint="eastAsia"/>
          <w:highlight w:val="cyan"/>
        </w:rPr>
        <w:t>(</w:t>
      </w:r>
      <w:r w:rsidR="00F6674F" w:rsidRPr="00F6674F">
        <w:rPr>
          <w:rFonts w:eastAsia="宋体"/>
          <w:highlight w:val="cyan"/>
        </w:rPr>
        <w:t>https://indelsigbrowser.shinyapps.io/main/</w:t>
      </w:r>
      <w:r w:rsidR="00F6674F" w:rsidRPr="00F6674F">
        <w:rPr>
          <w:rFonts w:eastAsia="宋体" w:hint="eastAsia"/>
          <w:highlight w:val="cyan"/>
        </w:rPr>
        <w:t>)</w:t>
      </w:r>
      <w:r>
        <w:t xml:space="preserve"> </w:t>
      </w:r>
    </w:p>
    <w:p w14:paraId="319D3B5B" w14:textId="77777777" w:rsidR="00CA05B3" w:rsidRDefault="00000000">
      <w:pPr>
        <w:pStyle w:val="Heading1"/>
      </w:pPr>
      <w:r>
        <w:t>Results</w:t>
      </w:r>
    </w:p>
    <w:p w14:paraId="77FAE201" w14:textId="77777777" w:rsidR="00CA05B3" w:rsidRDefault="00000000">
      <w:pPr>
        <w:pStyle w:val="Heading2"/>
      </w:pPr>
      <w:r>
        <w:t>Repertoire of indel signatures based on de novo signature discovery</w:t>
      </w:r>
    </w:p>
    <w:p w14:paraId="6EBD394C" w14:textId="77777777" w:rsidR="00CA05B3" w:rsidRDefault="00000000">
      <w:pPr>
        <w:pStyle w:val="normalfirst"/>
      </w:pPr>
      <w:r>
        <w:t xml:space="preserve">We identified indel signatures in all three classifications from a total of 6,975 cancer genomes encompassing 32 cancer types using a method based on hierarchical Dirichlet processes  </w:t>
      </w:r>
      <w:bookmarkStart w:id="13" w:name="ZOTERO_BREF_sXKgi2ptdMXh"/>
      <w:r>
        <w:t>(Liu et al. 2023)</w:t>
      </w:r>
      <w:bookmarkEnd w:id="13"/>
      <w:r>
        <w:t xml:space="preserve">, and a method based on non-negative matrix factorization </w:t>
      </w:r>
      <w:bookmarkStart w:id="14" w:name="ZOTERO_BREF_Ax2rB3g50il2"/>
      <w:r>
        <w:t>(Islam et al. 2022)</w:t>
      </w:r>
      <w:bookmarkEnd w:id="14"/>
      <w:r>
        <w:t xml:space="preserve">. The extracted signatures were broadly consistent between the two methods </w:t>
      </w:r>
      <w:r>
        <w:rPr>
          <w:shd w:val="clear" w:color="auto" w:fill="FFFF00"/>
        </w:rPr>
        <w:t xml:space="preserve">(Table 1, </w:t>
      </w:r>
      <w:r>
        <w:rPr>
          <w:shd w:val="clear" w:color="auto" w:fill="00FFFF"/>
        </w:rPr>
        <w:t>shiny app, make a reference for the zenodo site of the vignette; can we get a doi for the shiny app?</w:t>
      </w:r>
      <w:r>
        <w:rPr>
          <w:rFonts w:eastAsia="宋体" w:hint="eastAsia"/>
          <w:shd w:val="clear" w:color="auto" w:fill="00FFFF"/>
        </w:rPr>
        <w:t>, Ta</w:t>
      </w:r>
      <w:r>
        <w:rPr>
          <w:rFonts w:eastAsia="宋体" w:hint="eastAsia"/>
          <w:highlight w:val="cyan"/>
          <w:shd w:val="clear" w:color="auto" w:fill="FFFF00"/>
        </w:rPr>
        <w:t>ble S2-S8</w:t>
      </w:r>
      <w:r>
        <w:rPr>
          <w:shd w:val="clear" w:color="auto" w:fill="FFFF00"/>
        </w:rPr>
        <w:t xml:space="preserve">), </w:t>
      </w:r>
      <w:r>
        <w:t xml:space="preserve">We identified 44 mutational signatures in the new 89-type classification and, independently, the </w:t>
      </w:r>
      <w:r>
        <w:lastRenderedPageBreak/>
        <w:t>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宋体" w:hint="eastAsia"/>
        </w:rPr>
        <w:t>y</w:t>
      </w:r>
      <w:r>
        <w:t xml:space="preserve"> were discovered. Further evidence of their robustness derives from the identification of tumor spectra dominated by a single signature. For </w:t>
      </w:r>
      <w:r>
        <w:rPr>
          <w:shd w:val="clear" w:color="auto" w:fill="FFFF00"/>
        </w:rPr>
        <w:t>35</w:t>
      </w:r>
      <w:r>
        <w:t xml:space="preserve"> of the 44 signatures we identified tumor spectra with &gt; </w:t>
      </w:r>
      <w:r>
        <w:rPr>
          <w:shd w:val="clear" w:color="auto" w:fill="FFFF00"/>
        </w:rPr>
        <w:t>0.95</w:t>
      </w:r>
      <w:r>
        <w:t xml:space="preserve"> cosine similarity, and 39 of the signatures had tumor spectra with &gt; 0.90 similarity (Table 1). Of the 44 signatures identified in the 89-type classification, similar signatures were previously described for 18 </w:t>
      </w:r>
      <w:bookmarkStart w:id="15" w:name="ZOTERO_BREF_DLtC4TQmbVUR"/>
      <w:r>
        <w:t>(Koh et al. 2025)</w:t>
      </w:r>
      <w:bookmarkEnd w:id="15"/>
      <w:r>
        <w:t xml:space="preserve">. </w:t>
      </w:r>
    </w:p>
    <w:p w14:paraId="6C4BF90A" w14:textId="77777777" w:rsidR="00CA05B3" w:rsidRDefault="00000000">
      <w:pPr>
        <w:pStyle w:val="normalfirst"/>
        <w:ind w:firstLine="720"/>
      </w:pPr>
      <w: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6" w:name="ZOTERO_BREF_RenPiKIXIJyQ"/>
      <w:r>
        <w:t>(Jin et al. 2024b)</w:t>
      </w:r>
      <w:bookmarkEnd w:id="16"/>
      <w:r>
        <w:t xml:space="preserve"> (Table 1).</w:t>
      </w:r>
    </w:p>
    <w:p w14:paraId="399DEC25" w14:textId="22B3FC65" w:rsidR="00CA05B3" w:rsidRDefault="00000000">
      <w:pPr>
        <w:pStyle w:val="normalfirst"/>
        <w:ind w:firstLine="720"/>
      </w:pPr>
      <w:r>
        <w:t xml:space="preserve">Because lossless translation between signatures in the 83-type and the two new classification schemes is impossible </w:t>
      </w:r>
      <w:r>
        <w:rPr>
          <w:shd w:val="clear" w:color="auto" w:fill="00FFFF"/>
        </w:rPr>
        <w:t>(Table S1 &lt;rosetta stone&gt;),</w:t>
      </w:r>
      <w:r>
        <w:t xml:space="preserve"> we used tumor mutational spectra dominated by individual signatures to systematically elucidate signature correspondences across classifiation schemes. </w:t>
      </w:r>
      <w:r>
        <w:rPr>
          <w:shd w:val="clear" w:color="auto" w:fill="00FFFF"/>
        </w:rPr>
        <w:t>Table 1</w:t>
      </w:r>
      <w:r>
        <w:t xml:space="preserve"> shows the </w:t>
      </w:r>
      <w:r w:rsidR="005E7864">
        <w:t>correspondences</w:t>
      </w:r>
      <w:r>
        <w:t xml:space="preserve">, with details and discussion in </w:t>
      </w:r>
      <w:r>
        <w:rPr>
          <w:shd w:val="clear" w:color="auto" w:fill="00FFFF"/>
        </w:rPr>
        <w:t>&lt;cite vignette and shiny app&gt;</w:t>
      </w:r>
    </w:p>
    <w:p w14:paraId="7A79167D" w14:textId="77777777" w:rsidR="00CA05B3" w:rsidRDefault="00000000">
      <w:pPr>
        <w:pStyle w:val="normalfirst"/>
        <w:ind w:firstLine="720"/>
      </w:pPr>
      <w:r>
        <w:t xml:space="preserve">In several cases, the 89 and 476 type systems were able to distinguish signatures that the 83-type system merged. This is clearest for deletions of single T bases from tracts of </w:t>
      </w:r>
      <w:r>
        <w:rPr>
          <w:rFonts w:ascii="Liberation Serif" w:eastAsia="Liberation Serif" w:hAnsi="Liberation Serif" w:cs="Liberation Serif"/>
        </w:rPr>
        <w:t>≥</w:t>
      </w:r>
      <w:r>
        <w:t xml:space="preserve"> 6 Ts, which in the older, 83 type classificaiton, consitute a single class of &gt; 8.5 million deletions. In COSMIC reference signature ID2 in the 83-type classification consists exclusively of this class of deletions. The new indel classifications divide ID2 into three classes. Among these, InsDel2b </w:t>
      </w:r>
      <w:r>
        <w:lastRenderedPageBreak/>
        <w:t xml:space="preserve">is dominated by deletions of T from tracts of 5 to 7 Ts. InsDel2a and InsDel2c are dominated by deletions of </w:t>
      </w:r>
      <w:r>
        <w:rPr>
          <w:rFonts w:ascii="Liberation Serif" w:eastAsia="Liberation Serif" w:hAnsi="Liberation Serif" w:cs="Liberation Serif"/>
        </w:rPr>
        <w:t>≥ 8 Ts but are distinguised by InsDel2a’s preference of flanking A bases and InsDelc’s preference for flanking C bases.</w:t>
      </w:r>
      <w:r>
        <w:t xml:space="preserve"> </w:t>
      </w:r>
      <w:r>
        <w:rPr>
          <w:color w:val="000000"/>
        </w:rPr>
        <w:t xml:space="preserve">Insdel2a and InsDel2b are strongly enriched among MSI-H tumors </w:t>
      </w:r>
      <w:r>
        <w:rPr>
          <w:color w:val="000000"/>
          <w:shd w:val="clear" w:color="auto" w:fill="00FFFF"/>
        </w:rPr>
        <w:t>&lt;reference new plot based on fisher test?&gt;</w:t>
      </w:r>
      <w:r>
        <w:rPr>
          <w:color w:val="000000"/>
        </w:rPr>
        <w:t>.</w:t>
      </w:r>
    </w:p>
    <w:p w14:paraId="1260AB74" w14:textId="1697F774" w:rsidR="00CA05B3" w:rsidRDefault="00000000">
      <w:pPr>
        <w:pStyle w:val="normalfirst"/>
        <w:ind w:firstLine="720"/>
      </w:pPr>
      <w:r>
        <w:t xml:space="preserve">The ability of the 89 and 476-type systems to </w:t>
      </w:r>
      <w:r w:rsidR="005E7864">
        <w:t>distinguish</w:t>
      </w:r>
      <w:r>
        <w:t xml:space="preserve"> signatures that the 83 type merged was also clear for insertions of single T bases into tracts of </w:t>
      </w:r>
      <w:r>
        <w:rPr>
          <w:rFonts w:ascii="Liberation Serif" w:eastAsia="Liberation Serif" w:hAnsi="Liberation Serif" w:cs="Liberation Serif"/>
        </w:rPr>
        <w:t>≥</w:t>
      </w:r>
      <w:r>
        <w:t xml:space="preserve"> 5 Ts. In the 83-type classification these constitute a single class of &gt; 3.3 million insertions, and COSMIC reference signature ID1 in the 83-type system consists </w:t>
      </w:r>
      <w:r w:rsidR="005E7864">
        <w:t>exclusively</w:t>
      </w:r>
      <w:r>
        <w:t xml:space="preserve"> of this class of insertions. InsDel1a has the largest proportion of insertions into tracts of </w:t>
      </w:r>
      <w:r>
        <w:rPr>
          <w:rFonts w:ascii="Liberation Serif" w:eastAsia="Liberation Serif" w:hAnsi="Liberation Serif" w:cs="Liberation Serif"/>
        </w:rPr>
        <w:t>≥</w:t>
      </w:r>
      <w:r>
        <w:t xml:space="preserve"> 8T and InsDel1b has the smallest proportion, while InsDel1c has an intermediate proportion. Compared to InsDel1b, InsDel1a and InsDel1c have larger proportions of A to the left of the poly-T tract and G to right, and smaller proportions of C to the left of the poly-T tract with C or A to the right. Several tumor with high </w:t>
      </w:r>
      <w:r w:rsidR="005E7864">
        <w:t>proportions</w:t>
      </w:r>
      <w:r>
        <w:t xml:space="preserve"> of InsDel1b (&gt; 0.4) have </w:t>
      </w:r>
      <w:r w:rsidR="005E7864">
        <w:t>mutation ions</w:t>
      </w:r>
      <w:r>
        <w:t xml:space="preserve"> in the proofreading domain of polymerase epsilon </w:t>
      </w:r>
      <w:r>
        <w:rPr>
          <w:shd w:val="clear" w:color="auto" w:fill="00FFFF"/>
        </w:rPr>
        <w:t>&lt;references for pole, table s9, Koh (InD15)&gt;</w:t>
      </w:r>
      <w:r>
        <w:t>.</w:t>
      </w:r>
    </w:p>
    <w:p w14:paraId="219E464D" w14:textId="77777777" w:rsidR="00CA05B3" w:rsidRDefault="00000000">
      <w:pPr>
        <w:pStyle w:val="normalfirst"/>
        <w:ind w:firstLine="720"/>
      </w:pPr>
      <w:r>
        <w:rPr>
          <w:rFonts w:eastAsia="宋体" w:hint="eastAsia"/>
        </w:rPr>
        <w:t>However, there were two cases in which the 83-type and 476 type systems clearly differentiated signatures that were almost identical the 89-type system. One case consisted of InsDel13 and InsDelC. These are nearly identical in the 89-type system, which groups deletions of single Ts in stretches of 1, 2, 3, or 4 Ts as a single deletion type. However the 83 and 476 type systems show that InsDelC has deletions of 1 T from ATA (ATA</w:t>
      </w:r>
      <w:r>
        <w:rPr>
          <w:rFonts w:ascii="DejaVu Sans" w:hAnsi="DejaVu Sans" w:cs="DejaVu Sans" w:hint="eastAsia"/>
        </w:rPr>
        <w:t>→</w:t>
      </w:r>
      <w:r>
        <w:rPr>
          <w:rFonts w:eastAsia="宋体" w:hint="eastAsia"/>
        </w:rPr>
        <w:t>AA), while InsDel13 has deletions of T from ATTA (ATTA</w:t>
      </w:r>
      <w:r>
        <w:rPr>
          <w:rFonts w:ascii="DejaVu Sans" w:hAnsi="DejaVu Sans" w:cs="DejaVu Sans" w:hint="eastAsia"/>
        </w:rPr>
        <w:t>→</w:t>
      </w:r>
      <w:r>
        <w:rPr>
          <w:rFonts w:eastAsia="宋体" w:hint="eastAsia"/>
        </w:rPr>
        <w:t>ATA,</w:t>
      </w:r>
      <w:r>
        <w:rPr>
          <w:rFonts w:eastAsia="宋体" w:hint="eastAsia"/>
          <w:shd w:val="clear" w:color="auto" w:fill="00FFFF"/>
        </w:rPr>
        <w:t xml:space="preserve"> Sup Figure S1A</w:t>
      </w:r>
      <w:r>
        <w:rPr>
          <w:shd w:val="clear" w:color="auto" w:fill="00FFFF"/>
        </w:rPr>
        <w:t>)</w:t>
      </w:r>
      <w:r>
        <w:t>.</w:t>
      </w:r>
      <w:r>
        <w:rPr>
          <w:rFonts w:eastAsia="宋体" w:hint="eastAsia"/>
        </w:rPr>
        <w:t xml:space="preserve"> The other case consisted of InsDel11 and InsDel16. InsDel11 has insertions of one C next to an isolated C (C with non-Cs on each side, e.g. ACG</w:t>
      </w:r>
      <w:r>
        <w:rPr>
          <w:rFonts w:ascii="DejaVu Sans" w:hAnsi="DejaVu Sans" w:cs="DejaVu Sans" w:hint="eastAsia"/>
        </w:rPr>
        <w:t>→</w:t>
      </w:r>
      <w:r>
        <w:rPr>
          <w:rFonts w:eastAsia="宋体" w:hint="eastAsia"/>
        </w:rPr>
        <w:t>ACCG) and insertion of a one T next to an isolated T (e.g. GTG</w:t>
      </w:r>
      <w:r>
        <w:rPr>
          <w:rFonts w:ascii="DejaVu Sans" w:hAnsi="DejaVu Sans" w:cs="DejaVu Sans" w:hint="eastAsia"/>
        </w:rPr>
        <w:t>→</w:t>
      </w:r>
      <w:r>
        <w:rPr>
          <w:rFonts w:eastAsia="宋体" w:hint="eastAsia"/>
        </w:rPr>
        <w:t xml:space="preserve">GTTG). </w:t>
      </w:r>
      <w:r>
        <w:rPr>
          <w:rFonts w:eastAsia="宋体" w:hint="eastAsia"/>
        </w:rPr>
        <w:lastRenderedPageBreak/>
        <w:t>InsDel16 has insertion of one C between non-Cs (e.g. AT</w:t>
      </w:r>
      <w:r>
        <w:rPr>
          <w:rFonts w:ascii="DejaVu Sans" w:hAnsi="DejaVu Sans" w:cs="DejaVu Sans" w:hint="eastAsia"/>
        </w:rPr>
        <w:t>→</w:t>
      </w:r>
      <w:r>
        <w:rPr>
          <w:rFonts w:eastAsia="宋体" w:hint="eastAsia"/>
        </w:rPr>
        <w:t>ACT), and insertion of one T between non-Ts (e.g. AG</w:t>
      </w:r>
      <w:r>
        <w:rPr>
          <w:rFonts w:ascii="DejaVu Sans" w:hAnsi="DejaVu Sans" w:cs="DejaVu Sans" w:hint="eastAsia"/>
        </w:rPr>
        <w:t>→</w:t>
      </w:r>
      <w:r>
        <w:rPr>
          <w:rFonts w:eastAsia="宋体" w:hint="eastAsia"/>
        </w:rPr>
        <w:t xml:space="preserve">ATG, </w:t>
      </w:r>
      <w:r>
        <w:rPr>
          <w:rFonts w:eastAsia="宋体" w:hint="eastAsia"/>
          <w:shd w:val="clear" w:color="auto" w:fill="00FFFF"/>
        </w:rPr>
        <w:t>Sup Figure S1B</w:t>
      </w:r>
      <w:r>
        <w:t xml:space="preserve">). Again, </w:t>
      </w:r>
      <w:r>
        <w:rPr>
          <w:rFonts w:eastAsia="宋体" w:hint="eastAsia"/>
        </w:rPr>
        <w:t>the 89-type system does not capture these differences, while the 83 and 476-type systems do.</w:t>
      </w:r>
    </w:p>
    <w:p w14:paraId="4FFBC48C" w14:textId="77777777" w:rsidR="00CA05B3" w:rsidRDefault="00000000">
      <w:pPr>
        <w:pStyle w:val="normalfirst"/>
        <w:rPr>
          <w:b/>
          <w:bCs/>
          <w:i/>
          <w:iCs/>
        </w:rPr>
      </w:pPr>
      <w:r>
        <w:rPr>
          <w:b/>
          <w:bCs/>
          <w:i/>
          <w:iCs/>
        </w:rPr>
        <w:t>New insights</w:t>
      </w:r>
    </w:p>
    <w:p w14:paraId="08B02121" w14:textId="77777777" w:rsidR="00CA05B3" w:rsidRDefault="00000000">
      <w:pPr>
        <w:pStyle w:val="normalfirst"/>
        <w:rPr>
          <w:b/>
          <w:bCs/>
          <w:i/>
          <w:iCs/>
        </w:rPr>
      </w:pPr>
      <w:r>
        <w:rPr>
          <w:b/>
          <w:bCs/>
          <w:i/>
          <w:iCs/>
        </w:rPr>
        <w:t xml:space="preserve">Deletions caused by aristolochic acid. </w:t>
      </w:r>
      <w:r>
        <w:t>One example of the benefits of the new classification schemes is that it reveals that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ascii="DejaVu Sans" w:hAnsi="DejaVu Sans" w:cs="DejaVu Sans" w:hint="eastAsia"/>
        </w:rPr>
        <w:t>→</w:t>
      </w:r>
      <w:r>
        <w:t xml:space="preserve">T single base substitutions in the AA SBS signature and of the frequent involvement of adenines in the AA DBS signatures </w:t>
      </w:r>
      <w:r>
        <w:rPr>
          <w:shd w:val="clear" w:color="auto" w:fill="00FFFF"/>
        </w:rPr>
        <w:t>&lt;cite chinese liver cancer paper&gt;.</w:t>
      </w:r>
    </w:p>
    <w:p w14:paraId="67F3A289" w14:textId="77777777" w:rsidR="00CA05B3" w:rsidRDefault="00000000">
      <w:pPr>
        <w:pStyle w:val="normalfirst"/>
        <w:rPr>
          <w:b/>
          <w:bCs/>
          <w:i/>
          <w:iCs/>
        </w:rPr>
      </w:pPr>
      <w:r>
        <w:rPr>
          <w:b/>
          <w:bCs/>
          <w:i/>
          <w:iCs/>
        </w:rPr>
        <w:t>PARAGRAPH InsDel17 (top2A) vs InsDel8</w:t>
      </w:r>
    </w:p>
    <w:p w14:paraId="08AF60C7" w14:textId="77777777" w:rsidR="00CA05B3" w:rsidRDefault="00000000">
      <w:pPr>
        <w:pStyle w:val="normalfirst"/>
        <w:rPr>
          <w:b/>
          <w:bCs/>
          <w:i/>
          <w:iCs/>
        </w:rPr>
      </w:pPr>
      <w:r>
        <w:rPr>
          <w:b/>
          <w:bCs/>
          <w:i/>
          <w:iCs/>
        </w:rPr>
        <w:t xml:space="preserve">PARAGRAPH: A_beta looks like apobec in (already known) / a alpha not correlated  A beta is TCA → TA and TCT → TT, SBS2 TCA →  TTA, TCT → TTT SBS13 is TCA → TGA, TCT -&gt;TGT </w:t>
      </w:r>
      <w:hyperlink r:id="rId13">
        <w:r w:rsidR="00CA05B3">
          <w:rPr>
            <w:rStyle w:val="Hyperlink"/>
            <w:b/>
            <w:bCs/>
            <w:i/>
            <w:iCs/>
          </w:rPr>
          <w:t>https://www.sciencedirect.com/science/article/pii/S2211124722002996</w:t>
        </w:r>
      </w:hyperlink>
    </w:p>
    <w:p w14:paraId="4B206133" w14:textId="77777777" w:rsidR="00CA05B3" w:rsidRDefault="00000000">
      <w:pPr>
        <w:pStyle w:val="normalfirst"/>
        <w:rPr>
          <w:b/>
          <w:bCs/>
          <w:i/>
          <w:iCs/>
        </w:rPr>
      </w:pPr>
      <w:r>
        <w:rPr>
          <w:b/>
          <w:bCs/>
          <w:i/>
          <w:iCs/>
        </w:rPr>
        <w:t>Koh already cited the paper above; did the paper look at the context -- NO</w:t>
      </w:r>
    </w:p>
    <w:p w14:paraId="343DB021" w14:textId="77777777" w:rsidR="00CA05B3" w:rsidRDefault="00000000">
      <w:pPr>
        <w:pStyle w:val="normalfirst"/>
        <w:rPr>
          <w:b/>
          <w:bCs/>
          <w:i/>
          <w:iCs/>
        </w:rPr>
      </w:pPr>
      <w:r>
        <w:rPr>
          <w:rStyle w:val="Hyperlink"/>
          <w:b/>
          <w:bCs/>
          <w:i/>
          <w:iCs/>
          <w:color w:val="000000"/>
          <w:u w:val="none"/>
        </w:rPr>
        <w:t xml:space="preserve">MAYBE: </w:t>
      </w:r>
      <w:r>
        <w:rPr>
          <w:b/>
          <w:bCs/>
          <w:i/>
          <w:iCs/>
        </w:rPr>
        <w:t>Sig H – 476 doesn’t really capture it</w:t>
      </w:r>
    </w:p>
    <w:p w14:paraId="3D9AAA38" w14:textId="77777777" w:rsidR="00CA05B3" w:rsidRDefault="00000000">
      <w:pPr>
        <w:pStyle w:val="normalfirst"/>
        <w:rPr>
          <w:b/>
          <w:bCs/>
          <w:i/>
          <w:iCs/>
        </w:rPr>
      </w:pPr>
      <w:r>
        <w:rPr>
          <w:b/>
          <w:bCs/>
          <w:i/>
          <w:iCs/>
        </w:rPr>
        <w:t>PARAGRAPH N_beta is the new ID2</w:t>
      </w:r>
    </w:p>
    <w:p w14:paraId="71810414" w14:textId="77777777" w:rsidR="00CA05B3" w:rsidRDefault="00000000">
      <w:r>
        <w:t xml:space="preserve">&lt;but this sentence above in subsection on splitting 1 and 2&gt; , InsDel1b accounted for a greater number of mutations in colon cancer and was associated with POLE deficiency and </w:t>
      </w:r>
      <w:r>
        <w:lastRenderedPageBreak/>
        <w:t>impaired DNA mismatch repair (</w:t>
      </w:r>
      <w:commentRangeStart w:id="17"/>
      <w:r>
        <w:rPr>
          <w:highlight w:val="cyan"/>
          <w:shd w:val="clear" w:color="auto" w:fill="00FFFF"/>
        </w:rPr>
        <w:t>Table S</w:t>
      </w:r>
      <w:commentRangeEnd w:id="17"/>
      <w:r>
        <w:rPr>
          <w:rStyle w:val="CommentReference"/>
          <w:rFonts w:eastAsia="宋体" w:hint="eastAsia"/>
          <w:sz w:val="24"/>
          <w:szCs w:val="24"/>
        </w:rPr>
        <w:commentReference w:id="17"/>
      </w:r>
      <w:r>
        <w:rPr>
          <w:rFonts w:eastAsia="宋体" w:hint="eastAsia"/>
        </w:rPr>
        <w:t>9</w:t>
      </w:r>
      <w:r>
        <w:t>; as also suggested by Koh et al., 2025)</w:t>
      </w:r>
      <w:r>
        <w:rPr>
          <w:highlight w:val="cyan"/>
        </w:rPr>
        <w:t>.</w:t>
      </w:r>
      <w:r>
        <w:rPr>
          <w:rFonts w:eastAsia="宋体" w:hint="eastAsia"/>
          <w:highlight w:val="cyan"/>
        </w:rPr>
        <w:t xml:space="preserve"> &lt;not sure where this goes&gt;</w:t>
      </w:r>
      <w:r>
        <w:rPr>
          <w:rFonts w:eastAsia="宋体" w:hint="eastAsia"/>
        </w:rPr>
        <w:t xml:space="preserve"> </w:t>
      </w:r>
      <w:r>
        <w:t>A similar pattern was observed for ID_N, which was found in all cancer types. Its sub-signature, InsDel_N</w:t>
      </w:r>
      <w:r>
        <w:rPr>
          <w:rFonts w:eastAsia="宋体"/>
        </w:rPr>
        <w:t>α</w:t>
      </w:r>
      <w:r>
        <w:t>, was specifically linked to POLE mutations and mismatch repair deficiency, whereas InsDel_N</w:t>
      </w:r>
      <w:r>
        <w:rPr>
          <w:rFonts w:eastAsia="宋体"/>
        </w:rPr>
        <w:t>β</w:t>
      </w:r>
      <w:r>
        <w:t xml:space="preserve"> was prevalent across a broad range of cancer types.</w:t>
      </w:r>
    </w:p>
    <w:p w14:paraId="7D865605" w14:textId="77777777" w:rsidR="00CA05B3" w:rsidRDefault="00000000">
      <w:pPr>
        <w:pStyle w:val="Heading3"/>
        <w:numPr>
          <w:ilvl w:val="0"/>
          <w:numId w:val="0"/>
        </w:numPr>
        <w:rPr>
          <w:i/>
          <w:iCs/>
          <w:sz w:val="24"/>
          <w:szCs w:val="24"/>
        </w:rPr>
      </w:pPr>
      <w:r>
        <w:rPr>
          <w:i/>
          <w:iCs/>
          <w:sz w:val="24"/>
          <w:szCs w:val="24"/>
        </w:rPr>
        <w:t>Associations between indel signatures and SBS signatures</w:t>
      </w:r>
    </w:p>
    <w:p w14:paraId="259EE73E" w14:textId="77777777" w:rsidR="00CA05B3" w:rsidRDefault="00000000">
      <w:r>
        <w:t>We further analyzed the correlations between the i</w:t>
      </w:r>
      <w:r>
        <w:rPr>
          <w:rFonts w:hint="eastAsia"/>
        </w:rPr>
        <w:t>ndel</w:t>
      </w:r>
      <w:r>
        <w:t xml:space="preserve"> signature activities we derived and SBS signature activities</w:t>
      </w:r>
      <w:r>
        <w:rPr>
          <w:shd w:val="clear" w:color="auto" w:fill="00FFFF"/>
        </w:rPr>
        <w:t xml:space="preserve"> from &lt;use reference&gt; Degasperi et al</w:t>
      </w:r>
      <w:r>
        <w:t>. (</w:t>
      </w:r>
      <w:r>
        <w:rPr>
          <w:shd w:val="clear" w:color="auto" w:fill="00FFFF"/>
        </w:rPr>
        <w:t>Tables S</w:t>
      </w:r>
      <w:r>
        <w:rPr>
          <w:rFonts w:eastAsia="宋体" w:hint="eastAsia"/>
          <w:shd w:val="clear" w:color="auto" w:fill="00FFFF"/>
        </w:rPr>
        <w:t>10</w:t>
      </w:r>
      <w:r>
        <w:rPr>
          <w:rFonts w:hint="eastAsia"/>
          <w:shd w:val="clear" w:color="auto" w:fill="00FFFF"/>
        </w:rPr>
        <w:t>, S</w:t>
      </w:r>
      <w:r>
        <w:rPr>
          <w:rFonts w:eastAsia="宋体" w:hint="eastAsia"/>
          <w:shd w:val="clear" w:color="auto" w:fill="00FFFF"/>
        </w:rPr>
        <w:t>11</w:t>
      </w:r>
      <w:r>
        <w:t xml:space="preserve">). Correlation analysis showed that the 89-type signature classification can distinguish more nuanced mutational processes than the 83-type scheme </w:t>
      </w:r>
      <w:r>
        <w:rPr>
          <w:shd w:val="clear" w:color="auto" w:fill="00FFFF"/>
        </w:rPr>
        <w:t>&lt;need a visual or a table or something to show “more nuanced” (above) and “improved resolution” (next sentence)&gt;</w:t>
      </w:r>
      <w:r>
        <w:t xml:space="preserve">. These signatures displayed unique patterns of association with SBS signatures, emphasizing the improved resolution and specificity the 89-type taxonomy provides. Using unsupervised hierarchical clustering, we grouped mutational signatures into several distinct modules </w:t>
      </w:r>
      <w:r>
        <w:rPr>
          <w:shd w:val="clear" w:color="auto" w:fill="00FFFF"/>
        </w:rPr>
        <w:t>(Figure 5)</w:t>
      </w:r>
      <w:r>
        <w:t>. The APOBEC-related cluster includes SBS2 and SBS13 and showes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14:paraId="5C19FEE0" w14:textId="77777777" w:rsidR="00CA05B3" w:rsidRDefault="00000000">
      <w:r>
        <w:t xml:space="preserve">Within the mismatch repair deficiency (MMR) cluster, we observed a strong network of correlations between SBS6, SBS26, SBS44, and a group of indel signatures, including C_ID2, </w:t>
      </w:r>
      <w:r>
        <w:lastRenderedPageBreak/>
        <w:t>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14:paraId="6C53D0E8" w14:textId="77777777" w:rsidR="00CA05B3" w:rsidRDefault="00000000">
      <w:r>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14:paraId="668245F2" w14:textId="77777777" w:rsidR="00CA05B3" w:rsidRDefault="00000000">
      <w:r>
        <w:t>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formation. Meanwhile, C_ID1 and InsDel1a exhibited stronger correlations with SBS1 and SBS18, supporting their association with mutagenesis driven by reactive oxygen species (Figure 5, “GI-ROS”).</w:t>
      </w:r>
    </w:p>
    <w:p w14:paraId="2EC243E2" w14:textId="77777777" w:rsidR="00CA05B3" w:rsidRDefault="00000000">
      <w:pPr>
        <w:pStyle w:val="Heading2"/>
      </w:pPr>
      <w:r>
        <w:rPr>
          <w:rFonts w:hint="eastAsia"/>
        </w:rPr>
        <w:lastRenderedPageBreak/>
        <w:t>Topography of indel mutational signatures</w:t>
      </w:r>
    </w:p>
    <w:p w14:paraId="6DB30F50" w14:textId="77777777" w:rsidR="00CA05B3" w:rsidRDefault="00000000">
      <w:r>
        <w:t>Interesting – ID_K lagging strand enrichment related to POLE</w:t>
      </w:r>
    </w:p>
    <w:p w14:paraId="095F6494" w14:textId="77777777" w:rsidR="00CA05B3" w:rsidRDefault="00000000">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(add cite)</w:t>
      </w:r>
      <w:r>
        <w:rPr>
          <w:shd w:val="clear" w:color="auto" w:fill="FFFF00"/>
        </w:rPr>
        <w:t xml:space="preserve">. </w:t>
      </w:r>
      <w:r>
        <w:t>Transcription strand asymmetries were shown in 17 out of 33 83-type signatures (Figure</w:t>
      </w:r>
      <w:r>
        <w:rPr>
          <w:rFonts w:eastAsia="宋体" w:hint="eastAsia"/>
        </w:rPr>
        <w:t xml:space="preserve"> </w:t>
      </w:r>
      <w:r>
        <w:rPr>
          <w:rFonts w:hint="eastAsia"/>
        </w:rPr>
        <w:t>6A</w:t>
      </w:r>
      <w:r>
        <w:rPr>
          <w:rFonts w:eastAsia="宋体" w:hint="eastAsia"/>
        </w:rPr>
        <w:t xml:space="preserve">, </w:t>
      </w:r>
      <w:r>
        <w:rPr>
          <w:rFonts w:eastAsia="宋体" w:hint="eastAsia"/>
          <w:highlight w:val="cyan"/>
        </w:rPr>
        <w:t xml:space="preserve">Figure </w:t>
      </w:r>
      <w:r>
        <w:rPr>
          <w:rFonts w:hint="eastAsia"/>
          <w:highlight w:val="cyan"/>
        </w:rPr>
        <w:t>S</w:t>
      </w:r>
      <w:r>
        <w:rPr>
          <w:rFonts w:eastAsia="宋体" w:hint="eastAsia"/>
          <w:highlight w:val="cyan"/>
        </w:rPr>
        <w:t>2</w:t>
      </w:r>
      <w:r>
        <w:rPr>
          <w:rFonts w:hint="eastAsia"/>
          <w:highlight w:val="cyan"/>
        </w:rPr>
        <w:t>C</w:t>
      </w:r>
      <w:r>
        <w:rPr>
          <w:highlight w:val="cyan"/>
        </w:rPr>
        <w:t xml:space="preserve">, Table </w:t>
      </w:r>
      <w:r>
        <w:rPr>
          <w:rFonts w:hint="eastAsia"/>
          <w:highlight w:val="cyan"/>
        </w:rPr>
        <w:t>S</w:t>
      </w:r>
      <w:r>
        <w:rPr>
          <w:rFonts w:eastAsia="宋体" w:hint="eastAsia"/>
          <w:highlight w:val="cyan"/>
        </w:rPr>
        <w:t>12</w:t>
      </w:r>
      <w:r>
        <w:t>). Signatures attributed to exogenous mutational processes, such as C_ID3 (tobacco smoking exposure), C_ID14 (</w:t>
      </w:r>
      <w:r>
        <w:rPr>
          <w:rFonts w:hint="eastAsia"/>
        </w:rPr>
        <w:t>SBS93 correlated</w:t>
      </w:r>
      <w:r>
        <w:t xml:space="preserve">)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宋体" w:hint="eastAsia"/>
          <w:shd w:val="clear" w:color="auto" w:fill="FFFF00"/>
        </w:rPr>
        <w:t>ID_F</w:t>
      </w:r>
      <w:r>
        <w:rPr>
          <w:shd w:val="clear" w:color="auto" w:fill="FFFF00"/>
        </w:rPr>
        <w:t xml:space="preserve"> (TOP1-mediated mutagenesis). Interestingly, 3 defective MMR signatures also showed tran</w:t>
      </w:r>
      <w:r>
        <w:t xml:space="preserve">scription strand asymmetries in different directions, with two of them (C_ID7 and </w:t>
      </w:r>
      <w:r>
        <w:rPr>
          <w:rFonts w:eastAsia="宋体" w:hint="eastAsia"/>
        </w:rPr>
        <w:t>ID_K</w:t>
      </w:r>
      <w:r>
        <w:t>) having enriched mutations on the transcribed strand, and one of them (</w:t>
      </w:r>
      <w:r>
        <w:rPr>
          <w:rFonts w:eastAsia="宋体" w:hint="eastAsia"/>
        </w:rPr>
        <w:t>ID_N</w:t>
      </w:r>
      <w:r>
        <w:t>) having enriched mutations mainly on the un-transcribed strand. Replication strand asymmetries were observed in 12 out of 33 83</w:t>
      </w:r>
      <w:r>
        <w:rPr>
          <w:rFonts w:hint="eastAsia"/>
        </w:rPr>
        <w:t>-</w:t>
      </w:r>
      <w:r>
        <w:t xml:space="preserve">type signatures (Figure </w:t>
      </w:r>
      <w:r>
        <w:rPr>
          <w:rFonts w:hint="eastAsia"/>
        </w:rPr>
        <w:t>6B</w:t>
      </w:r>
      <w:r>
        <w:rPr>
          <w:rFonts w:eastAsia="宋体" w:hint="eastAsia"/>
        </w:rPr>
        <w:t xml:space="preserve">, </w:t>
      </w:r>
      <w:r>
        <w:rPr>
          <w:rFonts w:eastAsia="宋体" w:hint="eastAsia"/>
          <w:highlight w:val="cyan"/>
        </w:rPr>
        <w:t xml:space="preserve">Figure </w:t>
      </w:r>
      <w:r>
        <w:rPr>
          <w:rFonts w:hint="eastAsia"/>
          <w:highlight w:val="cyan"/>
        </w:rPr>
        <w:t>S</w:t>
      </w:r>
      <w:r>
        <w:rPr>
          <w:rFonts w:eastAsia="宋体" w:hint="eastAsia"/>
          <w:highlight w:val="cyan"/>
        </w:rPr>
        <w:t>2</w:t>
      </w:r>
      <w:r>
        <w:rPr>
          <w:rFonts w:hint="eastAsia"/>
          <w:highlight w:val="cyan"/>
        </w:rPr>
        <w:t>B</w:t>
      </w:r>
      <w:r>
        <w:rPr>
          <w:highlight w:val="cyan"/>
        </w:rPr>
        <w:t xml:space="preserve">, Table </w:t>
      </w:r>
      <w:r>
        <w:rPr>
          <w:rFonts w:hint="eastAsia"/>
          <w:highlight w:val="cyan"/>
        </w:rPr>
        <w:t>S</w:t>
      </w:r>
      <w:r>
        <w:rPr>
          <w:rFonts w:eastAsia="宋体" w:hint="eastAsia"/>
          <w:highlight w:val="cyan"/>
        </w:rPr>
        <w:t>12</w:t>
      </w:r>
      <w:r>
        <w:t xml:space="preserve">). Similar to transcription strand asymmetries, most signatures attributed to either exogenous mutagenic or defective endogenous mutational processes showed bias towards the replication leading or lagging strand. For example, 3 </w:t>
      </w:r>
      <w:r>
        <w:lastRenderedPageBreak/>
        <w:t xml:space="preserve">defective MMR signatures exhibited replication strand bias either </w:t>
      </w:r>
      <w:r>
        <w:rPr>
          <w:rFonts w:hint="eastAsia"/>
        </w:rPr>
        <w:t>mainly</w:t>
      </w:r>
      <w:r>
        <w:t xml:space="preserve"> on the leading strand (</w:t>
      </w:r>
      <w:r>
        <w:rPr>
          <w:rFonts w:eastAsia="宋体" w:hint="eastAsia"/>
        </w:rPr>
        <w:t>ID_K</w:t>
      </w:r>
      <w:r>
        <w:t xml:space="preserve">) or on the lagging strand (C_ID7 and </w:t>
      </w:r>
      <w:r>
        <w:rPr>
          <w:rFonts w:eastAsia="宋体" w:hint="eastAsia"/>
        </w:rPr>
        <w:t>ID_N</w:t>
      </w:r>
      <w:r>
        <w:t>).</w:t>
      </w:r>
    </w:p>
    <w:p w14:paraId="2BA246A0" w14:textId="77777777" w:rsidR="00CA05B3" w:rsidRDefault="00000000">
      <w:r>
        <w:t>We also examined the mutation enrichment of 83-type signatures in genic and intergenic regions</w:t>
      </w:r>
      <w:r>
        <w:rPr>
          <w:rFonts w:hint="eastAsia"/>
        </w:rPr>
        <w:t xml:space="preserve"> (Figure S4A)</w:t>
      </w:r>
      <w:r>
        <w:t>. Most signatures showed mutation bias towards intergenic regions, while 6 signatures showed enrichment in genic regions</w:t>
      </w:r>
      <w:r>
        <w:rPr>
          <w:rFonts w:hint="eastAsia"/>
        </w:rPr>
        <w:t xml:space="preserve"> (</w:t>
      </w:r>
      <w:r>
        <w:t xml:space="preserve">Figure </w:t>
      </w:r>
      <w:r>
        <w:rPr>
          <w:rFonts w:hint="eastAsia"/>
        </w:rPr>
        <w:t>6C)</w:t>
      </w:r>
      <w:r>
        <w:t xml:space="preserve">. Among the 6 signatures, 5 of them were associated with defective endogenous mutational processes, including </w:t>
      </w:r>
      <w:r>
        <w:rPr>
          <w:rFonts w:hint="eastAsia"/>
        </w:rPr>
        <w:t>C_ID8</w:t>
      </w:r>
      <w:r>
        <w:t xml:space="preserve"> (Repair of DNA double strand breaks by NHEJ), C_ID17(TOP2A K743N mediated mutagenesis), </w:t>
      </w:r>
      <w:r>
        <w:rPr>
          <w:rFonts w:eastAsia="宋体" w:hint="eastAsia"/>
        </w:rPr>
        <w:t xml:space="preserve">ID_F </w:t>
      </w:r>
      <w:r>
        <w:t xml:space="preserve">(TOP1-mediated mutagenesis) </w:t>
      </w:r>
      <w:r>
        <w:rPr>
          <w:rFonts w:hint="eastAsia"/>
        </w:rPr>
        <w:t>a</w:t>
      </w:r>
      <w:r>
        <w:t xml:space="preserve">nd ID_L (defective MMR). Another 2 signatures with mutation enriched in genic regions were of unknown etiology (C_ID4, </w:t>
      </w:r>
      <w:r>
        <w:rPr>
          <w:rFonts w:eastAsia="宋体" w:hint="eastAsia"/>
        </w:rPr>
        <w:t>ID_</w:t>
      </w:r>
      <w:r>
        <w:rPr>
          <w:rFonts w:eastAsia="宋体"/>
        </w:rPr>
        <w:t>E</w:t>
      </w:r>
      <w:r>
        <w:t>).</w:t>
      </w:r>
    </w:p>
    <w:p w14:paraId="0B7C3F32" w14:textId="77777777" w:rsidR="00CA05B3" w:rsidRDefault="00000000">
      <w:r>
        <w:t>The effect of DNA replication timing was also observed in many 83-type signatures</w:t>
      </w:r>
      <w:r>
        <w:rPr>
          <w:rFonts w:hint="eastAsia"/>
        </w:rPr>
        <w:t xml:space="preserve"> (Figure 6D</w:t>
      </w:r>
      <w:r>
        <w:rPr>
          <w:rFonts w:ascii="宋体" w:eastAsia="宋体" w:hAnsi="宋体" w:cs="宋体" w:hint="eastAsia"/>
        </w:rPr>
        <w:t>,</w:t>
      </w:r>
      <w:r>
        <w:rPr>
          <w:rFonts w:eastAsia="宋体" w:hint="eastAsia"/>
        </w:rPr>
        <w:t xml:space="preserve"> </w:t>
      </w:r>
      <w:r>
        <w:rPr>
          <w:rFonts w:eastAsia="宋体" w:hint="eastAsia"/>
          <w:highlight w:val="cyan"/>
        </w:rPr>
        <w:t xml:space="preserve">Figure </w:t>
      </w:r>
      <w:r>
        <w:rPr>
          <w:rFonts w:hint="eastAsia"/>
          <w:highlight w:val="cyan"/>
        </w:rPr>
        <w:t>S</w:t>
      </w:r>
      <w:r>
        <w:rPr>
          <w:rFonts w:eastAsia="宋体" w:hint="eastAsia"/>
          <w:highlight w:val="cyan"/>
        </w:rPr>
        <w:t>3</w:t>
      </w:r>
      <w:r>
        <w:rPr>
          <w:highlight w:val="cyan"/>
        </w:rPr>
        <w:t>,</w:t>
      </w:r>
      <w:r>
        <w:t xml:space="preserve"> </w:t>
      </w:r>
      <w:r>
        <w:rPr>
          <w:highlight w:val="cyan"/>
        </w:rPr>
        <w:t>Table S</w:t>
      </w:r>
      <w:r>
        <w:rPr>
          <w:rFonts w:eastAsia="宋体" w:hint="eastAsia"/>
        </w:rPr>
        <w:t>13</w:t>
      </w:r>
      <w:r>
        <w:rPr>
          <w:rFonts w:hint="eastAsia"/>
        </w:rPr>
        <w:t>)</w:t>
      </w:r>
      <w: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t xml:space="preserve"> two defective MMR signatures (ID_7 and ID_K). Interestingly, </w:t>
      </w:r>
      <w:r>
        <w:rPr>
          <w:rFonts w:eastAsia="宋体" w:hint="eastAsia"/>
        </w:rPr>
        <w:t>s</w:t>
      </w:r>
      <w:r>
        <w:t xml:space="preserve">everal signatures showed cancer-specific enrichment in replication timing, including </w:t>
      </w:r>
      <w:r>
        <w:rPr>
          <w:rFonts w:hint="eastAsia"/>
        </w:rPr>
        <w:t>C_ID8</w:t>
      </w:r>
      <w: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highlight w:val="cyan"/>
        </w:rPr>
        <w:t>Figure S</w:t>
      </w:r>
      <w:r>
        <w:rPr>
          <w:rFonts w:eastAsia="宋体" w:hint="eastAsia"/>
          <w:highlight w:val="cyan"/>
        </w:rPr>
        <w:t>4</w:t>
      </w:r>
      <w:r>
        <w:rPr>
          <w:highlight w:val="cyan"/>
        </w:rPr>
        <w:t>, Table S</w:t>
      </w:r>
      <w:r>
        <w:rPr>
          <w:rFonts w:eastAsia="宋体" w:hint="eastAsia"/>
          <w:highlight w:val="cyan"/>
        </w:rPr>
        <w:t>14</w:t>
      </w:r>
      <w:r>
        <w:t>). InsDel</w:t>
      </w:r>
      <w:r>
        <w:rPr>
          <w:rFonts w:eastAsia="宋体" w:hint="eastAsia"/>
        </w:rPr>
        <w:t>_L</w:t>
      </w:r>
      <w:r>
        <w:t xml:space="preserve">, the corresponding signature of </w:t>
      </w:r>
      <w:r>
        <w:rPr>
          <w:rFonts w:hint="eastAsia"/>
        </w:rPr>
        <w:t>ID</w:t>
      </w:r>
      <w:r>
        <w:t xml:space="preserve">_L, showed the </w:t>
      </w:r>
      <w:r>
        <w:lastRenderedPageBreak/>
        <w:t>same stomach cancer specific enrichment in early replication regions, which strengthen the correlation between 83-type and 89-type signatures.</w:t>
      </w:r>
    </w:p>
    <w:p w14:paraId="38911730" w14:textId="77777777" w:rsidR="00CA05B3" w:rsidRDefault="00000000">
      <w:pPr>
        <w:pStyle w:val="Heading2"/>
      </w:pPr>
      <w:r>
        <w:t>New indel type classifications reveal an accurate signature of RNase H2 deficiency</w:t>
      </w:r>
    </w:p>
    <w:p w14:paraId="313364DB" w14:textId="77777777" w:rsidR="00CA05B3" w:rsidRDefault="00000000">
      <w:r>
        <w:t xml:space="preserve">Cells with RNase H2 deficiency cannot efficiently remove ribonucleotides that had previously been incorporated into genomic DNA, and this sets the stage for topoisomerase-1 (TOP1) associated mutagenesis. This was previously thought to generate indel signature ID4 </w:t>
      </w:r>
      <w:bookmarkStart w:id="18" w:name="ZOTERO_BREF_xeDB1zkV4c3y"/>
      <w:r>
        <w:t>(Jin et al. 2024a; Reijns et al. 2022; Koh et al. 2025)</w:t>
      </w:r>
      <w:bookmarkEnd w:id="18"/>
      <w:r>
        <w:t xml:space="preserve">. However, we detected a new indel signature, InsDel_F, which better corresponds to RNase H2 deficiency experimental data than ID4 </w:t>
      </w:r>
      <w:r>
        <w:rPr>
          <w:shd w:val="clear" w:color="auto" w:fill="FFFF00"/>
        </w:rPr>
        <w:t>(Figure</w:t>
      </w:r>
      <w:r>
        <w:rPr>
          <w:rFonts w:eastAsia="宋体" w:hint="eastAsia"/>
          <w:shd w:val="clear" w:color="auto" w:fill="FFFF00"/>
        </w:rPr>
        <w:t xml:space="preserve"> 6</w:t>
      </w:r>
      <w:r>
        <w:rPr>
          <w:shd w:val="clear" w:color="auto" w:fill="FFFF00"/>
        </w:rPr>
        <w:t>)</w:t>
      </w:r>
      <w:r>
        <w:t xml:space="preserve">. The profile of deletions of </w:t>
      </w:r>
      <w:r>
        <w:rPr>
          <w:rFonts w:ascii="Liberation Serif" w:eastAsia="Liberation Serif" w:hAnsi="Liberation Serif" w:cs="Liberation Serif"/>
        </w:rPr>
        <w:t>≥</w:t>
      </w:r>
      <w: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w:t>
      </w:r>
      <w:r>
        <w:rPr>
          <w:rFonts w:eastAsia="宋体" w:hint="eastAsia"/>
        </w:rPr>
        <w:t xml:space="preserve"> (</w:t>
      </w:r>
      <w:r>
        <w:rPr>
          <w:rFonts w:eastAsia="宋体" w:hint="eastAsia"/>
          <w:highlight w:val="cyan"/>
        </w:rPr>
        <w:t>Figure S5</w:t>
      </w:r>
      <w:r>
        <w:rPr>
          <w:rFonts w:eastAsia="宋体" w:hint="eastAsia"/>
        </w:rPr>
        <w:t>)</w:t>
      </w:r>
      <w: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14:paraId="1BB0E5ED" w14:textId="77777777" w:rsidR="00CA05B3" w:rsidRDefault="00CA05B3">
      <w:pPr>
        <w:ind w:firstLine="0"/>
      </w:pPr>
    </w:p>
    <w:p w14:paraId="6C7169B2" w14:textId="77777777" w:rsidR="00CA05B3" w:rsidRDefault="00000000">
      <w:pPr>
        <w:ind w:firstLine="0"/>
        <w:rPr>
          <w:color w:val="000000"/>
          <w:shd w:val="clear" w:color="auto" w:fill="FFFF00"/>
        </w:rPr>
      </w:pPr>
      <w:r>
        <w:rPr>
          <w:color w:val="000000"/>
          <w:shd w:val="clear" w:color="auto" w:fill="FFFF00"/>
        </w:rPr>
        <w:lastRenderedPageBreak/>
        <w:t>NOVEL SIGNATURES MAYBE JUST A TABLE</w:t>
      </w:r>
    </w:p>
    <w:p w14:paraId="55F0BF22" w14:textId="77777777" w:rsidR="00CA05B3" w:rsidRDefault="00000000">
      <w:pPr>
        <w:pStyle w:val="Heading2"/>
        <w:rPr>
          <w:rFonts w:eastAsia="宋体"/>
        </w:rPr>
      </w:pPr>
      <w:r>
        <w:t>Demographic Associations</w:t>
      </w:r>
      <w:r>
        <w:rPr>
          <w:rFonts w:eastAsia="宋体" w:hint="eastAsia"/>
        </w:rPr>
        <w:t xml:space="preserve"> with Gender and Age</w:t>
      </w:r>
    </w:p>
    <w:p w14:paraId="0FE163BB" w14:textId="77777777" w:rsidR="00CA05B3" w:rsidRDefault="00000000">
      <w:pPr>
        <w:rPr>
          <w:rFonts w:eastAsia="宋体"/>
        </w:rPr>
      </w:pPr>
      <w:r>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w:t>
      </w:r>
      <w:r>
        <w:rPr>
          <w:rFonts w:eastAsia="宋体" w:hint="eastAsia"/>
          <w:highlight w:val="cyan"/>
        </w:rPr>
        <w:t>Figure S6A,</w:t>
      </w:r>
      <w:r>
        <w:rPr>
          <w:rFonts w:eastAsia="宋体" w:hint="eastAsia"/>
        </w:rPr>
        <w:t xml:space="preserve"> </w:t>
      </w:r>
      <w:r>
        <w:rPr>
          <w:rFonts w:eastAsia="宋体" w:hint="eastAsia"/>
          <w:highlight w:val="cyan"/>
        </w:rPr>
        <w:t>Table S15</w:t>
      </w:r>
      <w:r>
        <w:rPr>
          <w:rFonts w:eastAsia="宋体" w:hint="eastAsia"/>
        </w:rPr>
        <w:t>)</w:t>
      </w:r>
      <w:r>
        <w:rPr>
          <w:rFonts w:eastAsia="宋体"/>
        </w:rPr>
        <w:t>.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宋体" w:hint="eastAsia"/>
        </w:rPr>
        <w:t xml:space="preserve"> and </w:t>
      </w:r>
      <w:r>
        <w:rPr>
          <w:rFonts w:eastAsia="宋体"/>
        </w:rPr>
        <w:t xml:space="preserve">their </w:t>
      </w:r>
      <w:r>
        <w:rPr>
          <w:rFonts w:eastAsia="宋体" w:hint="eastAsia"/>
        </w:rPr>
        <w:t xml:space="preserve">underlying </w:t>
      </w:r>
      <w:r>
        <w:rPr>
          <w:rFonts w:eastAsia="宋体"/>
        </w:rPr>
        <w:t xml:space="preserve">biological </w:t>
      </w:r>
      <w:r>
        <w:rPr>
          <w:rFonts w:eastAsia="宋体" w:hint="eastAsia"/>
        </w:rPr>
        <w:t>processes might</w:t>
      </w:r>
      <w:r>
        <w:rPr>
          <w:rFonts w:eastAsia="宋体"/>
        </w:rPr>
        <w:t xml:space="preserve"> be modulated by gender, shaping distinct patterns of cancer susceptibility and progression.</w:t>
      </w:r>
    </w:p>
    <w:p w14:paraId="54BBB162" w14:textId="77777777" w:rsidR="00CA05B3" w:rsidRDefault="00000000">
      <w:pPr>
        <w:rPr>
          <w:rFonts w:eastAsia="宋体"/>
        </w:rPr>
      </w:pPr>
      <w:r>
        <w:rPr>
          <w:rFonts w:eastAsia="宋体"/>
        </w:rPr>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w:t>
      </w:r>
      <w:r>
        <w:rPr>
          <w:rFonts w:eastAsia="宋体" w:hint="eastAsia"/>
          <w:highlight w:val="cyan"/>
        </w:rPr>
        <w:t>Figure S6B</w:t>
      </w:r>
      <w:r>
        <w:rPr>
          <w:rFonts w:eastAsia="宋体" w:hint="eastAsia"/>
        </w:rPr>
        <w:t>)</w:t>
      </w:r>
      <w:r>
        <w:rPr>
          <w:rFonts w:eastAsia="宋体"/>
        </w:rPr>
        <w:t xml:space="preserve">. We found that C_ID1, InsDel1a, C_ID5, and </w:t>
      </w:r>
      <w:r>
        <w:rPr>
          <w:rFonts w:eastAsia="宋体"/>
        </w:rPr>
        <w:lastRenderedPageBreak/>
        <w:t>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Pr>
          <w:rFonts w:eastAsia="宋体" w:hint="eastAsia"/>
          <w:highlight w:val="yellow"/>
        </w:rPr>
        <w:t>(</w:t>
      </w:r>
      <w:r>
        <w:rPr>
          <w:rFonts w:eastAsia="宋体" w:hint="eastAsia"/>
          <w:highlight w:val="cyan"/>
        </w:rPr>
        <w:t>Table S16</w:t>
      </w:r>
      <w:r>
        <w:rPr>
          <w:rFonts w:eastAsia="宋体" w:hint="eastAsia"/>
          <w:highlight w:val="yellow"/>
        </w:rPr>
        <w:t>)</w:t>
      </w:r>
      <w:r>
        <w:rPr>
          <w:rFonts w:eastAsia="宋体"/>
        </w:rPr>
        <w:t>. However, these broad pan-cancer associations likely reflect weak or heterogeneous age dependencies spread across multiple tumor types, rather than strong, tissue-specific age effects.</w:t>
      </w:r>
    </w:p>
    <w:p w14:paraId="3F90DC23" w14:textId="77777777" w:rsidR="00CA05B3" w:rsidRDefault="00000000">
      <w:pPr>
        <w:rPr>
          <w:rFonts w:eastAsia="宋体"/>
        </w:rPr>
      </w:pPr>
      <w:r>
        <w:rPr>
          <w:rFonts w:eastAsia="宋体" w:hint="eastAsia"/>
        </w:rPr>
        <w:t>Taken together</w:t>
      </w:r>
      <w:r>
        <w:rPr>
          <w:rFonts w:eastAsia="宋体"/>
        </w:rPr>
        <w:t>, these analyses reveal a demographic landscape of mutational mechanisms, indicating that genomic instability is sculpted by both sex-specific biological influences and tissue-dependent aging processes.</w:t>
      </w:r>
    </w:p>
    <w:p w14:paraId="3359F4E5" w14:textId="77777777" w:rsidR="00CA05B3" w:rsidRDefault="00CA05B3">
      <w:pPr>
        <w:rPr>
          <w:rFonts w:eastAsia="宋体"/>
        </w:rPr>
      </w:pPr>
    </w:p>
    <w:p w14:paraId="1D14C84A" w14:textId="77777777" w:rsidR="00CA05B3" w:rsidRDefault="00000000">
      <w:pPr>
        <w:pStyle w:val="Heading1"/>
      </w:pPr>
      <w:r>
        <w:t>Discussion</w:t>
      </w:r>
    </w:p>
    <w:p w14:paraId="41548338" w14:textId="77777777" w:rsidR="00CA05B3" w:rsidRDefault="00000000">
      <w:r>
        <w:t xml:space="preserve">Leveraging a novel nonparametric Bayesian framework, we conducted mutational signature analysis on over </w:t>
      </w:r>
      <w:r>
        <w:rPr>
          <w:rFonts w:hint="eastAsia"/>
        </w:rPr>
        <w:t>6,975</w:t>
      </w:r>
      <w:r>
        <w:t xml:space="preserve"> whole-genome tumor samples spanning </w:t>
      </w:r>
      <w:r>
        <w:rPr>
          <w:rFonts w:eastAsia="宋体" w:hint="eastAsia"/>
        </w:rPr>
        <w:t>32</w:t>
      </w:r>
      <w:r>
        <w:t xml:space="preserve"> cancer types from the PCAWG and HMF cohorts. As the first study to apply </w:t>
      </w:r>
      <w:r>
        <w:rPr>
          <w:rFonts w:eastAsia="宋体" w:hint="eastAsia"/>
        </w:rPr>
        <w:t>all indel</w:t>
      </w:r>
      <w:r>
        <w:t xml:space="preserve"> taxonomies</w:t>
      </w:r>
      <w:r>
        <w:rPr>
          <w:rFonts w:eastAsia="宋体" w:hint="eastAsia"/>
        </w:rPr>
        <w:t xml:space="preserve">, </w:t>
      </w:r>
      <w:r>
        <w:t>the 83-type and 89-type</w:t>
      </w:r>
      <w:r>
        <w:rPr>
          <w:rFonts w:eastAsia="宋体" w:hint="eastAsia"/>
        </w:rPr>
        <w:t xml:space="preserve"> and 476-type,</w:t>
      </w:r>
      <w:r>
        <w:t xml:space="preserve"> to such a large dataset, we established a comprehensive catalog of 3</w:t>
      </w:r>
      <w:r>
        <w:rPr>
          <w:rFonts w:eastAsia="宋体" w:hint="eastAsia"/>
        </w:rPr>
        <w:t>4</w:t>
      </w:r>
      <w:r>
        <w:t xml:space="preserve"> 83-type and 4</w:t>
      </w:r>
      <w:r>
        <w:rPr>
          <w:rFonts w:eastAsia="宋体" w:hint="eastAsia"/>
        </w:rPr>
        <w:t>4</w:t>
      </w:r>
      <w:r>
        <w:t xml:space="preserve"> 89-type signatures, alongside a unified mapping system to facilitate cross-referencing of signatures between the two classifications. Notably, we discovered two novel </w:t>
      </w:r>
      <w:r>
        <w:lastRenderedPageBreak/>
        <w:t>indel signatures (ID_F and InsDel_F) associated with TOP1-TAM</w:t>
      </w:r>
      <w:r>
        <w:rPr>
          <w:rFonts w:eastAsia="宋体" w:hint="eastAsia"/>
        </w:rPr>
        <w:t xml:space="preserve"> by a de-novo extraction approach</w:t>
      </w:r>
      <w:r>
        <w:t>, and validated their biological relevance using published data from RNaseH2-deficient systems. Additionally, we identified several indel signatures—four 83-type and six 89-type—strongly associated with microsatellite instability (MSI), further elucidating the mutational footprints of defective MMR processes.</w:t>
      </w:r>
    </w:p>
    <w:p w14:paraId="623AC7FE" w14:textId="77777777" w:rsidR="00CA05B3" w:rsidRDefault="00000000">
      <w: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14:paraId="04175483" w14:textId="77777777" w:rsidR="00CA05B3" w:rsidRDefault="00000000">
      <w: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t>Furthermore, we expect the development of mutational signatures as clinical biomarkers to enhance cancer diagnosis and treatment strategies.</w:t>
      </w:r>
      <w:bookmarkEnd w:id="0"/>
    </w:p>
    <w:p w14:paraId="0E11D506" w14:textId="77777777" w:rsidR="00CA05B3" w:rsidRDefault="00000000">
      <w:pPr>
        <w:pStyle w:val="Heading1"/>
      </w:pPr>
      <w:r>
        <w:lastRenderedPageBreak/>
        <w:t>Materials and methods</w:t>
      </w:r>
    </w:p>
    <w:p w14:paraId="5D25F9D4" w14:textId="77777777" w:rsidR="00CA05B3" w:rsidRDefault="00000000">
      <w:pPr>
        <w:pStyle w:val="Heading2"/>
      </w:pPr>
      <w:r>
        <w:t>Data sources</w:t>
      </w:r>
    </w:p>
    <w:p w14:paraId="14EE3221" w14:textId="4573A5C9" w:rsidR="00CA05B3" w:rsidRDefault="00000000">
      <w:pPr>
        <w:ind w:firstLineChars="200" w:firstLine="480"/>
      </w:pPr>
      <w:r>
        <w:t>Somatic indel calls from the ICGC/TCGA (International Cancer Genome Consortium/The Cancer Genome Atlas) Pan-Cancer Analysis of Whole Genomes Consortium and associated clinical characteristics were obtained from the ICGC data portal (</w:t>
      </w:r>
      <w:hyperlink r:id="rId17">
        <w:r w:rsidR="00CA05B3">
          <w:rPr>
            <w:rStyle w:val="Hyperlink"/>
          </w:rPr>
          <w:t>https://dcc.icgc.org/releases/current/Projects/</w:t>
        </w:r>
      </w:hyperlink>
      <w:r>
        <w:t>, which has been retired. The data were downloaded on 9 May, 2024</w:t>
      </w:r>
      <w:r w:rsidR="00FA213A">
        <w:rPr>
          <w:rFonts w:eastAsia="宋体" w:hint="eastAsia"/>
        </w:rPr>
        <w:t>)</w:t>
      </w:r>
      <w:r>
        <w:t>. Hartwig Medical Foundation</w:t>
      </w:r>
      <w:r>
        <w:rPr>
          <w:rFonts w:eastAsiaTheme="minorEastAsia"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of the </w:t>
      </w:r>
      <w:r>
        <w:rPr>
          <w:rFonts w:eastAsiaTheme="minorEastAsia" w:hint="eastAsia"/>
        </w:rPr>
        <w:t>Hartwig</w:t>
      </w:r>
      <w:r>
        <w:t xml:space="preserve"> genomes were found from supplementary files of </w:t>
      </w:r>
      <w:r>
        <w:rPr>
          <w:color w:val="000000"/>
        </w:rPr>
        <w:t>Priestley et al., 2019.</w:t>
      </w:r>
      <w:r>
        <w:t xml:space="preserve"> These data was also provided in Table S</w:t>
      </w:r>
      <w:r>
        <w:rPr>
          <w:rFonts w:hint="eastAsia"/>
        </w:rPr>
        <w:t>1</w:t>
      </w:r>
      <w:r w:rsidR="00FA213A">
        <w:rPr>
          <w:rFonts w:eastAsia="宋体" w:hint="eastAsia"/>
        </w:rPr>
        <w:t>6</w:t>
      </w:r>
      <w:r>
        <w:rPr>
          <w:rFonts w:hint="eastAsia"/>
        </w:rPr>
        <w:t xml:space="preserve"> </w:t>
      </w:r>
      <w:r w:rsidRPr="00FA213A">
        <w:rPr>
          <w:rFonts w:hint="eastAsia"/>
          <w:highlight w:val="cyan"/>
        </w:rPr>
        <w:t>&lt;OF Prieslty&gt;</w:t>
      </w:r>
      <w:r>
        <w:t xml:space="preserve">. </w:t>
      </w:r>
    </w:p>
    <w:p w14:paraId="1105D5FC" w14:textId="77777777" w:rsidR="00CA05B3" w:rsidRDefault="00000000">
      <w:pPr>
        <w:pStyle w:val="Heading2"/>
      </w:pPr>
      <w:r>
        <w:rPr>
          <w:rFonts w:hint="eastAsia"/>
        </w:rPr>
        <w:t xml:space="preserve">De novo </w:t>
      </w:r>
      <w:r>
        <w:t>Mutational signature extraction</w:t>
      </w:r>
    </w:p>
    <w:p w14:paraId="27EEEEA7" w14:textId="5DDD856D" w:rsidR="00CA05B3" w:rsidRPr="00FA213A" w:rsidRDefault="00000000">
      <w:pPr>
        <w:ind w:firstLineChars="200" w:firstLine="480"/>
        <w:rPr>
          <w:rFonts w:eastAsia="宋体"/>
        </w:rPr>
      </w:pPr>
      <w:r>
        <w:rPr>
          <w:rFonts w:eastAsiaTheme="minorEastAsia"/>
          <w:i/>
          <w:iCs/>
        </w:rPr>
        <w:t>De novo</w:t>
      </w:r>
      <w:r>
        <w:rPr>
          <w:rFonts w:eastAsiaTheme="minorEastAsia"/>
        </w:rPr>
        <w:t xml:space="preserve"> mutational signature extraction was performed using two complementary tools applied to the 83</w:t>
      </w:r>
      <w:r>
        <w:rPr>
          <w:rFonts w:eastAsiaTheme="minorEastAsia"/>
        </w:rPr>
        <w:noBreakHyphen/>
        <w:t>type, 89</w:t>
      </w:r>
      <w:r>
        <w:rPr>
          <w:rFonts w:eastAsiaTheme="minorEastAsia"/>
        </w:rPr>
        <w:noBreakHyphen/>
        <w:t>type, and 476</w:t>
      </w:r>
      <w:r>
        <w:rPr>
          <w:rFonts w:eastAsiaTheme="minorEastAsia"/>
        </w:rPr>
        <w:noBreakHyphen/>
        <w:t>type mutational spectra.</w:t>
      </w:r>
      <w:r w:rsidR="00FA213A">
        <w:rPr>
          <w:rFonts w:eastAsia="宋体" w:hint="eastAsia"/>
        </w:rPr>
        <w:t xml:space="preserve"> </w:t>
      </w:r>
      <w:r w:rsidR="00FA213A" w:rsidRPr="00FA213A">
        <w:rPr>
          <w:rFonts w:eastAsia="宋体"/>
        </w:rPr>
        <w:t>A stratified strategy was adopted to capture rare and cancer-specific signatures, encompassing analyses of all genomes, specific cancer types, high-TMB samples, and the PCAWG and Hartwig cohorts individually.</w:t>
      </w:r>
    </w:p>
    <w:p w14:paraId="144648CC" w14:textId="77777777" w:rsidR="00CA05B3" w:rsidRDefault="00000000">
      <w:pPr>
        <w:ind w:firstLineChars="200" w:firstLine="480"/>
        <w:rPr>
          <w:rFonts w:eastAsiaTheme="minorEastAsia"/>
        </w:rPr>
      </w:pPr>
      <w:r>
        <w:rPr>
          <w:rFonts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Theme="minorEastAsia"/>
        </w:rPr>
        <w:noBreakHyphen/>
        <w:t xml:space="preserve">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w:t>
      </w:r>
      <w:r>
        <w:rPr>
          <w:rFonts w:eastAsiaTheme="minorEastAsia"/>
        </w:rPr>
        <w:lastRenderedPageBreak/>
        <w:t>high tumor mutational burden, an additional downsampling step was applied (downsample_threshold = 3000) to reduce computational time.</w:t>
      </w:r>
    </w:p>
    <w:p w14:paraId="67638290" w14:textId="64DC6055" w:rsidR="00CA05B3" w:rsidRDefault="00000000">
      <w:pPr>
        <w:ind w:firstLineChars="200" w:firstLine="480"/>
        <w:rPr>
          <w:rFonts w:eastAsiaTheme="minorEastAsia"/>
        </w:rPr>
      </w:pPr>
      <w:r>
        <w:rPr>
          <w:rFonts w:eastAsiaTheme="minorEastAsia"/>
        </w:rPr>
        <w:t xml:space="preserve">In parallel, de novo mutational signatures were extracted using </w:t>
      </w:r>
      <w:r>
        <w:rPr>
          <w:rFonts w:eastAsiaTheme="minorEastAsia" w:hint="eastAsia"/>
        </w:rPr>
        <w:t xml:space="preserve">the Non-negative matrix factorization based approach (NMF), </w:t>
      </w:r>
      <w:r>
        <w:rPr>
          <w:rFonts w:eastAsiaTheme="minorEastAsia"/>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sidR="00FA213A">
        <w:rPr>
          <w:rFonts w:eastAsia="宋体" w:hint="eastAsia"/>
        </w:rPr>
        <w:t>Most signatures were extracted at</w:t>
      </w:r>
      <w:r>
        <w:rPr>
          <w:rFonts w:eastAsiaTheme="minorEastAsia"/>
        </w:rPr>
        <w:t xml:space="preserve"> the “Optimal Solution” identified by </w:t>
      </w:r>
      <w:r w:rsidR="00FA213A">
        <w:rPr>
          <w:rFonts w:eastAsiaTheme="minorEastAsia"/>
        </w:rPr>
        <w:t>SigProfilerExtractor</w:t>
      </w:r>
      <w:r>
        <w:rPr>
          <w:rFonts w:eastAsiaTheme="minorEastAsia"/>
        </w:rPr>
        <w:t>, although several rare signatures were identified in alternative solutions.</w:t>
      </w:r>
    </w:p>
    <w:p w14:paraId="6F94C0F3" w14:textId="77777777" w:rsidR="00CA05B3" w:rsidRDefault="00000000">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14:paraId="38BB2709" w14:textId="77777777" w:rsidR="00CA05B3" w:rsidRDefault="00000000">
      <w:pPr>
        <w:ind w:firstLineChars="200" w:firstLine="480"/>
        <w:rPr>
          <w:rFonts w:eastAsiaTheme="minorEastAsia"/>
        </w:rPr>
      </w:pPr>
      <w:r>
        <w:rPr>
          <w:rFonts w:eastAsiaTheme="minorEastAsia" w:hint="eastAsia"/>
        </w:rPr>
        <w:t xml:space="preserve">For 83-type signatures, the signatures were matched to previously identified COSMIC signatures (v3.5, </w:t>
      </w:r>
      <w:hyperlink r:id="rId18">
        <w:r w:rsidR="00CA05B3">
          <w:rPr>
            <w:rStyle w:val="Hyperlink"/>
            <w:rFonts w:eastAsiaTheme="minorEastAsia"/>
          </w:rPr>
          <w:t>https://cancer.sanger.ac.uk/signatures/id/</w:t>
        </w:r>
      </w:hyperlink>
      <w:r>
        <w:rPr>
          <w:rFonts w:eastAsiaTheme="minorEastAsia" w:hint="eastAsia"/>
        </w:rPr>
        <w:t>). For 89-type signatures, the signatures supported by both mSigHdp and SigProfilerExtractor were matched to the signatures reported in Koh et al. A detailed comparison can be found at Table 1.</w:t>
      </w:r>
    </w:p>
    <w:p w14:paraId="7ED54860" w14:textId="77777777" w:rsidR="00CA05B3" w:rsidRDefault="00000000">
      <w:pPr>
        <w:ind w:firstLineChars="200" w:firstLine="480"/>
        <w:rPr>
          <w:rFonts w:eastAsiaTheme="minorEastAsia"/>
        </w:rPr>
      </w:pPr>
      <w:r>
        <w:t xml:space="preserve">We compared all </w:t>
      </w:r>
      <w:r>
        <w:rPr>
          <w:i/>
          <w:iCs/>
        </w:rPr>
        <w:t>de novo</w:t>
      </w:r>
      <w:r>
        <w:t xml:space="preserve"> signatures </w:t>
      </w:r>
      <w:r>
        <w:rPr>
          <w:rFonts w:eastAsiaTheme="minorEastAsia" w:hint="eastAsia"/>
        </w:rPr>
        <w:t xml:space="preserve">supported by both mSigHdp and SigProfilerExtractor </w:t>
      </w:r>
      <w:r>
        <w:t xml:space="preserve">to </w:t>
      </w:r>
      <w:r>
        <w:rPr>
          <w:rFonts w:eastAsiaTheme="minorEastAsia" w:hint="eastAsia"/>
        </w:rPr>
        <w:t>the published</w:t>
      </w:r>
      <w:r>
        <w:t xml:space="preserve"> signatures and categorized them into three groups: (1) known signature: if</w:t>
      </w:r>
      <w:r>
        <w:rPr>
          <w:rFonts w:eastAsiaTheme="minorEastAsia" w:hint="eastAsia"/>
        </w:rPr>
        <w:t xml:space="preserve"> an extracted</w:t>
      </w:r>
      <w:r>
        <w:t xml:space="preserve"> signature has a cosine similarity of ≥ 0.</w:t>
      </w:r>
      <w:r>
        <w:rPr>
          <w:rFonts w:hint="eastAsia"/>
        </w:rPr>
        <w:t>85</w:t>
      </w:r>
      <w:r>
        <w:t xml:space="preserve"> with a COSMIC signature; (2) merged signatures: if </w:t>
      </w:r>
      <w:r>
        <w:rPr>
          <w:rFonts w:eastAsiaTheme="minorEastAsia"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Theme="minorEastAsia" w:hint="eastAsia"/>
        </w:rPr>
        <w:t xml:space="preserve">extracted </w:t>
      </w:r>
      <w:r>
        <w:t xml:space="preserve">signatures do not fit into the known signatures or the merged signatures. </w:t>
      </w:r>
      <w:r>
        <w:rPr>
          <w:rFonts w:eastAsiaTheme="minorEastAsia" w:hint="eastAsia"/>
        </w:rPr>
        <w:t>We focused on (1) and (3) in this study.</w:t>
      </w:r>
    </w:p>
    <w:p w14:paraId="57468F59" w14:textId="77777777" w:rsidR="00CA05B3" w:rsidRDefault="00000000">
      <w:pPr>
        <w:pStyle w:val="Heading2"/>
        <w:rPr>
          <w:rFonts w:eastAsia="宋体"/>
        </w:rPr>
      </w:pPr>
      <w:r>
        <w:rPr>
          <w:rFonts w:eastAsia="宋体" w:hint="eastAsia"/>
        </w:rPr>
        <w:lastRenderedPageBreak/>
        <w:t>Assignment of signature activity to each individual genome</w:t>
      </w:r>
    </w:p>
    <w:p w14:paraId="48F62891" w14:textId="39CD49FB" w:rsidR="00CA05B3" w:rsidRDefault="00000000">
      <w:pPr>
        <w:pStyle w:val="normalfirst"/>
        <w:ind w:firstLineChars="200" w:firstLine="480"/>
      </w:pPr>
      <w:r>
        <w:rPr>
          <w:rFonts w:eastAsia="宋体"/>
        </w:rPr>
        <w:t>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thymine insertions or deletions in at least five homopolymeric T tracts account for ≥</w:t>
      </w:r>
      <w:r>
        <w:rPr>
          <w:rFonts w:eastAsia="宋体" w:hint="eastAsia"/>
        </w:rPr>
        <w:t>5</w:t>
      </w:r>
      <w:r>
        <w:rPr>
          <w:rFonts w:eastAsia="宋体"/>
        </w:rPr>
        <w:t>0% of the mutations</w:t>
      </w:r>
      <w:r>
        <w:rPr>
          <w:rFonts w:eastAsia="宋体" w:hint="eastAsia"/>
        </w:rPr>
        <w:t xml:space="preserve"> (Table SX)</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t xml:space="preserve">First, we applied the find_best_reconstruction_QP function from the </w:t>
      </w:r>
      <w:r w:rsidR="00FA213A">
        <w:rPr>
          <w:rFonts w:eastAsia="宋体" w:hint="eastAsia"/>
        </w:rPr>
        <w:t>m</w:t>
      </w:r>
      <w:r>
        <w:t>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hint="eastAsia"/>
        </w:rPr>
        <w:t>.</w:t>
      </w:r>
    </w:p>
    <w:p w14:paraId="267F1759" w14:textId="77777777" w:rsidR="00CA05B3" w:rsidRDefault="00000000">
      <w:pPr>
        <w:pStyle w:val="normalfirst"/>
        <w:ind w:firstLineChars="200" w:firstLine="480"/>
      </w:pPr>
      <w:commentRangeStart w:id="19"/>
      <w:r>
        <w:t>The 83-type indel spectra are frequently dominated by 1</w:t>
      </w:r>
      <w:r>
        <w:noBreakHyphen/>
        <w:t>bp T insertions and deletions at poly</w:t>
      </w:r>
      <w:r>
        <w:noBreakHyphen/>
        <w:t>T tracts (≥5 consecutive T’s), which can obscure the contribution of other indel types during signature assignment. To mitigate this interference, we implemented a three</w:t>
      </w:r>
      <w:r>
        <w:noBreakHyphen/>
        <w:t>step deconvolution strategy:</w:t>
      </w:r>
      <w:r>
        <w:rPr>
          <w:rFonts w:hint="eastAsia"/>
        </w:rPr>
        <w:t xml:space="preserve"> </w:t>
      </w:r>
      <w:r>
        <w:t>(1) We constructed “ablated” spectra and an “ablated” signature matrix by removing the two poly</w:t>
      </w:r>
      <w:r>
        <w:noBreakHyphen/>
        <w:t>T peaks from both the observed spectrum and the reference signatures, explicitly excluding C_ID1 and C_ID2. Signature fitting was then performed on these ablated inputs using the two</w:t>
      </w:r>
      <w:r>
        <w:noBreakHyphen/>
        <w:t>step pipeline</w:t>
      </w:r>
      <w:r>
        <w:rPr>
          <w:rFonts w:hint="eastAsia"/>
        </w:rPr>
        <w:t xml:space="preserve"> described above</w:t>
      </w:r>
      <w:r>
        <w:t>, yielding activity estimates for all non</w:t>
      </w:r>
      <w:r>
        <w:noBreakHyphen/>
        <w:t>poly</w:t>
      </w:r>
      <w:r>
        <w:noBreakHyphen/>
        <w:t>T components</w:t>
      </w:r>
      <w:r>
        <w:rPr>
          <w:rFonts w:hint="eastAsia"/>
        </w:rPr>
        <w:t xml:space="preserve">; </w:t>
      </w:r>
      <w:r>
        <w:t>(2) Using this ablated assignment and the full (unablated) signature matrix, we reconstructed a “predicted spectrum”</w:t>
      </w:r>
      <w:r>
        <w:rPr>
          <w:rFonts w:hint="eastAsia"/>
        </w:rPr>
        <w:t xml:space="preserve">; </w:t>
      </w:r>
      <w:r>
        <w:t>(3) The residual</w:t>
      </w:r>
      <w:r>
        <w:rPr>
          <w:rFonts w:hint="eastAsia"/>
        </w:rPr>
        <w:t xml:space="preserve">, </w:t>
      </w:r>
      <w:r>
        <w:t xml:space="preserve">defined as the difference between the </w:t>
      </w:r>
      <w:r>
        <w:lastRenderedPageBreak/>
        <w:t>original observed spectrum and the “predicted spectrum”</w:t>
      </w:r>
      <w:r>
        <w:rPr>
          <w:rFonts w:hint="eastAsia"/>
        </w:rPr>
        <w:t xml:space="preserve">, </w:t>
      </w:r>
      <w:r>
        <w:t>was truncated at zero (i.e., all negative values were set to 0) to enforce non</w:t>
      </w:r>
      <w:r>
        <w:noBreakHyphen/>
        <w:t>negative contributions. Only the two poly</w:t>
      </w:r>
      <w:r>
        <w:noBreakHyphen/>
        <w:t>T components of this corrected residual were retained and allocated to C_ID1 and C_ID2 in proportion to their relative signature weights.</w:t>
      </w:r>
      <w:commentRangeEnd w:id="19"/>
      <w:r>
        <w:rPr>
          <w:rStyle w:val="CommentReference"/>
          <w:sz w:val="24"/>
          <w:szCs w:val="24"/>
        </w:rPr>
        <w:commentReference w:id="19"/>
      </w:r>
    </w:p>
    <w:p w14:paraId="74AF6E8C" w14:textId="77777777" w:rsidR="00CA05B3" w:rsidRDefault="00000000">
      <w:pPr>
        <w:pStyle w:val="normalfirst"/>
      </w:pPr>
      <w:r>
        <w:rPr>
          <w:rFonts w:hint="eastAsia"/>
        </w:rPr>
        <w:t xml:space="preserve"> </w:t>
      </w:r>
    </w:p>
    <w:p w14:paraId="0930DA10" w14:textId="77777777" w:rsidR="00CA05B3" w:rsidRDefault="00000000">
      <w:pPr>
        <w:pStyle w:val="Heading2"/>
        <w:rPr>
          <w:rFonts w:eastAsia="宋体"/>
        </w:rPr>
      </w:pPr>
      <w:r>
        <w:rPr>
          <w:rFonts w:eastAsia="宋体"/>
        </w:rPr>
        <w:t>Simulating synthetic cancer datasets</w:t>
      </w:r>
    </w:p>
    <w:p w14:paraId="322A4C30" w14:textId="77777777" w:rsidR="00CA05B3" w:rsidRDefault="00000000">
      <w:pPr>
        <w:pStyle w:val="normalfirst"/>
      </w:pPr>
      <w:r>
        <w:rPr>
          <w:rFonts w:hint="eastAsia"/>
        </w:rPr>
        <w:t>We generated s</w:t>
      </w:r>
      <w:r>
        <w:t xml:space="preserve">ynthetic cancer datasets </w:t>
      </w:r>
      <w:r>
        <w:rPr>
          <w:rFonts w:hint="eastAsia"/>
        </w:rPr>
        <w:t xml:space="preserve">in 83-type indels </w:t>
      </w:r>
      <w:r>
        <w:t>using SigProfilerSimulator (</w:t>
      </w:r>
      <w:hyperlink r:id="rId19">
        <w:r w:rsidR="00CA05B3">
          <w:rPr>
            <w:rStyle w:val="Hyperlink"/>
          </w:rPr>
          <w:t>https://bmcbioinformatics.biomedcentral.com/articles/10.1186/s12859-020-03772-3</w:t>
        </w:r>
      </w:hyperlink>
      <w:r>
        <w:t xml:space="preserve">). </w:t>
      </w:r>
    </w:p>
    <w:p w14:paraId="1BB9A601" w14:textId="77777777" w:rsidR="00CA05B3" w:rsidRDefault="00000000">
      <w:pPr>
        <w:pStyle w:val="Heading2"/>
        <w:rPr>
          <w:rFonts w:eastAsia="宋体"/>
        </w:rPr>
      </w:pPr>
      <w:r>
        <w:rPr>
          <w:rFonts w:eastAsia="宋体"/>
        </w:rPr>
        <w:t>Annotating somatic indels based on transcribed versus un-transcribed strand</w:t>
      </w:r>
    </w:p>
    <w:p w14:paraId="3C2242AA" w14:textId="77777777" w:rsidR="00CA05B3" w:rsidRDefault="00000000">
      <w:pPr>
        <w:ind w:firstLine="0"/>
      </w:pPr>
      <w:r>
        <w:t>We followed the method in (</w:t>
      </w:r>
      <w:hyperlink r:id="rId20">
        <w:r w:rsidR="00CA05B3">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0964467B" w14:textId="77777777" w:rsidR="00CA05B3" w:rsidRDefault="00000000">
      <w:pPr>
        <w:pStyle w:val="Heading2"/>
        <w:rPr>
          <w:rFonts w:eastAsia="宋体"/>
        </w:rPr>
      </w:pPr>
      <w:r>
        <w:rPr>
          <w:rFonts w:eastAsia="宋体"/>
        </w:rPr>
        <w:t>Annotating somatic indels based on leading versus lagging replication strand</w:t>
      </w:r>
    </w:p>
    <w:p w14:paraId="66F0A48A" w14:textId="77777777" w:rsidR="00CA05B3" w:rsidRDefault="00000000">
      <w:r>
        <w:t>Replication strand was determined by wavelet-smoothed replication-timing signal data that indicated both “valleys” (replication termination zones) and “peaks” (replication initiation zones) (</w:t>
      </w:r>
      <w:hyperlink r:id="rId21">
        <w:r w:rsidR="00CA05B3">
          <w:rPr>
            <w:rStyle w:val="Hyperlink"/>
          </w:rPr>
          <w:t>https://hgdownload.cse.ucsc.edu/goldenPath/hg19/encodeDCC/wgEncodeUwRepliSeq/</w:t>
        </w:r>
      </w:hyperlink>
      <w:r>
        <w:t xml:space="preserve">). Valleys and peaks were sorted by the genomic coordinate in ascending order. In regard to + </w:t>
      </w:r>
      <w:r>
        <w:lastRenderedPageBreak/>
        <w:t>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38E52364" w14:textId="77777777" w:rsidR="00CA05B3" w:rsidRDefault="00000000">
      <w:pPr>
        <w:pStyle w:val="Heading2"/>
        <w:rPr>
          <w:rFonts w:eastAsia="宋体"/>
        </w:rPr>
      </w:pPr>
      <w:r>
        <w:rPr>
          <w:rFonts w:eastAsia="宋体"/>
        </w:rPr>
        <w:t>Detecting strand asymmetries across cancer types</w:t>
      </w:r>
    </w:p>
    <w:p w14:paraId="498B8453" w14:textId="77777777" w:rsidR="00CA05B3" w:rsidRDefault="00000000">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08604B8F" w14:textId="77777777" w:rsidR="00CA05B3" w:rsidRDefault="00000000">
      <w:r>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14:paraId="713F5389" w14:textId="77777777" w:rsidR="00CA05B3" w:rsidRDefault="00CA05B3">
      <w:pPr>
        <w:rPr>
          <w:i/>
        </w:rPr>
      </w:pPr>
    </w:p>
    <w:p w14:paraId="25749D84" w14:textId="77777777" w:rsidR="00CA05B3" w:rsidRDefault="00CA05B3"/>
    <w:p w14:paraId="05CB966A" w14:textId="77777777" w:rsidR="00CA05B3" w:rsidRDefault="00000000">
      <w:r>
        <w:t>Odds ratio between the ratio of real somatic indels and the ratio of simulated somatic indels was calculated:</w:t>
      </w:r>
    </w:p>
    <w:p w14:paraId="6E562298" w14:textId="77777777" w:rsidR="00CA05B3" w:rsidRDefault="00CA05B3"/>
    <w:p w14:paraId="797A02FF" w14:textId="77777777" w:rsidR="00CA05B3" w:rsidRDefault="00000000">
      <w:r>
        <w:t>p values were calculated for the odds ratio using Fisher’s exact test. Only strand asymmetries with p value &gt; 0.05 were considered showing strand asymmetries.</w:t>
      </w:r>
    </w:p>
    <w:p w14:paraId="58D1F27C" w14:textId="77777777" w:rsidR="00CA05B3" w:rsidRDefault="00000000">
      <w:pPr>
        <w:pStyle w:val="Heading2"/>
        <w:rPr>
          <w:rFonts w:eastAsia="宋体"/>
        </w:rPr>
      </w:pPr>
      <w:r>
        <w:rPr>
          <w:rFonts w:eastAsia="宋体"/>
        </w:rPr>
        <w:t>Analyses of replication timing across cancer types</w:t>
      </w:r>
    </w:p>
    <w:p w14:paraId="09507703" w14:textId="77777777" w:rsidR="00CA05B3" w:rsidRDefault="00000000">
      <w:r>
        <w:t>Replication timing data were obtained from (</w:t>
      </w:r>
      <w:hyperlink r:id="rId22">
        <w:r w:rsidR="00CA05B3">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6EF25A25" w14:textId="77777777" w:rsidR="00CA05B3" w:rsidRDefault="00000000">
      <w: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t>, X</w:t>
      </w:r>
      <w:r>
        <w:rPr>
          <w:vertAlign w:val="subscript"/>
        </w:rPr>
        <w:t>2</w:t>
      </w:r>
      <w:r>
        <w:t>, X</w:t>
      </w:r>
      <w:r>
        <w:rPr>
          <w:vertAlign w:val="subscript"/>
        </w:rPr>
        <w:t>3</w:t>
      </w:r>
      <w:r>
        <w:t>, … X</w:t>
      </w:r>
      <w:r>
        <w:rPr>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p>
    <w:p w14:paraId="62793626" w14:textId="77777777" w:rsidR="00CA05B3" w:rsidRDefault="00000000">
      <w:pPr>
        <w:rPr>
          <w:shd w:val="clear" w:color="auto" w:fill="FFFF00"/>
        </w:rPr>
      </w:pPr>
      <w:r>
        <w:rPr>
          <w:shd w:val="clear" w:color="auto" w:fill="FFFF00"/>
        </w:rPr>
        <w:t>&lt;MISSING EQUATIONS HERE&gt;</w:t>
      </w:r>
    </w:p>
    <w:p w14:paraId="5F1F419F" w14:textId="77777777" w:rsidR="00CA05B3" w:rsidRDefault="00CA05B3"/>
    <w:p w14:paraId="4D25473A" w14:textId="77777777" w:rsidR="00CA05B3" w:rsidRDefault="00000000">
      <w:r>
        <w:lastRenderedPageBreak/>
        <w:t>In the above formula, replication timing denotes a vector c(1,2,3 … 10).</w:t>
      </w:r>
    </w:p>
    <w:p w14:paraId="2A2A6D70" w14:textId="77777777" w:rsidR="00CA05B3" w:rsidRDefault="00000000">
      <w:r>
        <w:t xml:space="preserve">The replication timing trend for </w:t>
      </w:r>
      <w:r>
        <w:rPr>
          <w:rFonts w:eastAsiaTheme="minorEastAsia" w:hint="eastAsia"/>
        </w:rPr>
        <w:t xml:space="preserve">an 83-type </w:t>
      </w:r>
      <w:r>
        <w:t xml:space="preserve">signature was determined for both real and simulated data. An </w:t>
      </w:r>
      <w:r>
        <w:rPr>
          <w:rFonts w:eastAsiaTheme="minorEastAsia"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14:paraId="38B534B5" w14:textId="77777777" w:rsidR="00CA05B3" w:rsidRDefault="00000000">
      <w:pPr>
        <w:rPr>
          <w:rFonts w:eastAsia="宋体"/>
        </w:rPr>
      </w:pPr>
      <w:r>
        <w:t xml:space="preserve">If the trends of a certain </w:t>
      </w:r>
      <w:r>
        <w:rPr>
          <w:rFonts w:eastAsiaTheme="minorEastAsia" w:hint="eastAsia"/>
        </w:rPr>
        <w:t>83-type</w:t>
      </w:r>
      <w:r>
        <w:t xml:space="preserve"> signature for the two dataset (real and simulated data) were different, the relative trend for real data comparing the simulated data was the final trend for the </w:t>
      </w:r>
      <w:r>
        <w:rPr>
          <w:rFonts w:eastAsiaTheme="minorEastAsia" w:hint="eastAsia"/>
        </w:rPr>
        <w:t>83-type</w:t>
      </w:r>
      <w:r>
        <w:t xml:space="preserve"> signature. Otherwise, if the trends of a certain </w:t>
      </w:r>
      <w:r>
        <w:rPr>
          <w:rFonts w:eastAsiaTheme="minorEastAsia" w:hint="eastAsia"/>
        </w:rPr>
        <w:t>83-type</w:t>
      </w:r>
      <w:r>
        <w:t xml:space="preserve"> signature for the two dataset were the same, a third multiple linear regression model was fitted. </w:t>
      </w:r>
    </w:p>
    <w:p w14:paraId="1AB3E77C" w14:textId="77777777" w:rsidR="00CA05B3" w:rsidRDefault="00CA05B3">
      <w:pPr>
        <w:rPr>
          <w:rFonts w:eastAsia="宋体"/>
        </w:rPr>
      </w:pPr>
    </w:p>
    <w:p w14:paraId="02C450D3" w14:textId="77777777" w:rsidR="00CA05B3" w:rsidRDefault="00000000">
      <w:pPr>
        <w:rPr>
          <w:rFonts w:eastAsia="宋体"/>
        </w:rPr>
      </w:pPr>
      <w:r>
        <w:t xml:space="preserve">Similarly, the final trend of an </w:t>
      </w:r>
      <w:r>
        <w:rPr>
          <w:rFonts w:eastAsiaTheme="minorEastAsia" w:hint="eastAsia"/>
        </w:rPr>
        <w:t>83-type</w:t>
      </w:r>
      <w:r>
        <w:t xml:space="preserve"> signature were determined by the significance of the coefficient of replication timing. If it is not significant, an </w:t>
      </w:r>
      <w:r>
        <w:rPr>
          <w:rFonts w:eastAsiaTheme="minorEastAsia" w:hint="eastAsia"/>
        </w:rPr>
        <w:t>83-type</w:t>
      </w:r>
      <w:r>
        <w:t xml:space="preserve"> signature was considered to be generally unaffected by replication timing. Otherwise, if the coefficient of replication timing &gt; 0, an </w:t>
      </w:r>
      <w:r>
        <w:rPr>
          <w:rFonts w:eastAsiaTheme="minorEastAsia" w:hint="eastAsia"/>
        </w:rPr>
        <w:t>83-type</w:t>
      </w:r>
      <w:r>
        <w:t xml:space="preserve"> signature was considered to be increasing from early to late replicating regions; if the coefficient of replication timing &lt; 0, an </w:t>
      </w:r>
      <w:r>
        <w:rPr>
          <w:rFonts w:eastAsiaTheme="minorEastAsia" w:hint="eastAsia"/>
        </w:rPr>
        <w:t>83-type</w:t>
      </w:r>
      <w:r>
        <w:t xml:space="preserve"> signature was considered to be decreasing from early to late replicating regions.</w:t>
      </w:r>
    </w:p>
    <w:p w14:paraId="405D5AC9" w14:textId="77777777" w:rsidR="00CA05B3" w:rsidRDefault="00000000">
      <w:pPr>
        <w:rPr>
          <w:rFonts w:eastAsiaTheme="minorEastAsia"/>
        </w:rPr>
      </w:pPr>
      <w:r>
        <w:rPr>
          <w:rFonts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14:paraId="5870AA56" w14:textId="77777777" w:rsidR="00CA05B3" w:rsidRDefault="00000000">
      <w:pPr>
        <w:pStyle w:val="Heading2"/>
        <w:rPr>
          <w:rFonts w:eastAsia="宋体"/>
        </w:rPr>
      </w:pPr>
      <w:r>
        <w:rPr>
          <w:rFonts w:eastAsia="宋体"/>
        </w:rPr>
        <w:lastRenderedPageBreak/>
        <w:t xml:space="preserve">MSI/MSS </w:t>
      </w:r>
      <w:r>
        <w:rPr>
          <w:rFonts w:eastAsia="宋体" w:hint="eastAsia"/>
        </w:rPr>
        <w:t>s</w:t>
      </w:r>
      <w:r>
        <w:rPr>
          <w:rFonts w:eastAsia="宋体"/>
        </w:rPr>
        <w:t>tatus</w:t>
      </w:r>
      <w:r>
        <w:rPr>
          <w:rFonts w:eastAsia="宋体" w:hint="eastAsia"/>
        </w:rPr>
        <w:t xml:space="preserve"> and high/low TMB status</w:t>
      </w:r>
    </w:p>
    <w:p w14:paraId="75438380" w14:textId="59056C64" w:rsidR="00CA05B3" w:rsidRDefault="00000000">
      <w:pPr>
        <w:rPr>
          <w:color w:val="000000"/>
        </w:rPr>
      </w:pPr>
      <w:r>
        <w:t>For PCAWG genomes, the MSI</w:t>
      </w:r>
      <w:r>
        <w:rPr>
          <w:rFonts w:eastAsiaTheme="minorEastAsia" w:hint="eastAsia"/>
        </w:rPr>
        <w:t xml:space="preserve"> (microsatellite instability)</w:t>
      </w:r>
      <w:r>
        <w:t xml:space="preserve"> status was evaluated by the PCAWG working group and obtained from the synapse repository (</w:t>
      </w:r>
      <w:hyperlink r:id="rId23" w:anchor="!Synapse:syn8016399" w:history="1">
        <w:r w:rsidR="00CA05B3">
          <w:rPr>
            <w:rStyle w:val="Hyperlink"/>
          </w:rPr>
          <w:t>https://www.synapse.org/#!Synapse:syn8016399</w:t>
        </w:r>
      </w:hyperlink>
      <w:r>
        <w:rPr>
          <w:rFonts w:hint="eastAsia"/>
        </w:rPr>
        <w:t>, the data was downloaded on May 2022</w:t>
      </w:r>
      <w:r>
        <w:t xml:space="preserve">). For </w:t>
      </w:r>
      <w:r>
        <w:rPr>
          <w:rFonts w:eastAsiaTheme="minorEastAsia"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w:t>
      </w:r>
      <w:r w:rsidR="00FA213A">
        <w:rPr>
          <w:rFonts w:eastAsia="宋体"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14:paraId="3A18B2AC" w14:textId="77777777" w:rsidR="00CA05B3" w:rsidRDefault="00000000">
      <w:pPr>
        <w:pStyle w:val="Heading2"/>
        <w:rPr>
          <w:rFonts w:eastAsia="宋体"/>
        </w:rPr>
      </w:pPr>
      <w:r>
        <w:rPr>
          <w:rFonts w:eastAsia="宋体"/>
        </w:rPr>
        <w:t>Extended sequence context</w:t>
      </w:r>
      <w:r>
        <w:rPr>
          <w:rFonts w:eastAsia="宋体" w:hint="eastAsia"/>
        </w:rPr>
        <w:t xml:space="preserve"> analysis</w:t>
      </w:r>
    </w:p>
    <w:p w14:paraId="608B3CFC" w14:textId="77777777" w:rsidR="00CA05B3" w:rsidRDefault="00000000">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58AF7AD8" w14:textId="77777777" w:rsidR="00CA05B3" w:rsidRDefault="00CA05B3">
      <w:pPr>
        <w:pStyle w:val="Heading1"/>
      </w:pPr>
    </w:p>
    <w:p w14:paraId="5F088E81" w14:textId="77777777" w:rsidR="00CA05B3" w:rsidRDefault="00000000">
      <w:pPr>
        <w:pStyle w:val="Heading1"/>
      </w:pPr>
      <w:r>
        <w:rPr>
          <w:rFonts w:hint="eastAsia"/>
        </w:rPr>
        <w:t>Funding</w:t>
      </w:r>
    </w:p>
    <w:p w14:paraId="664FC320" w14:textId="77777777" w:rsidR="00CA05B3"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hint="eastAsia"/>
          <w:color w:val="000000"/>
        </w:rPr>
        <w:t xml:space="preserve">(Grant No. </w:t>
      </w:r>
      <w:r>
        <w:rPr>
          <w:color w:val="000000"/>
        </w:rPr>
        <w:t>2026A1515010445</w:t>
      </w:r>
      <w:r>
        <w:rPr>
          <w:rFonts w:hint="eastAsia"/>
          <w:color w:val="000000"/>
        </w:rPr>
        <w:t xml:space="preserve">), </w:t>
      </w:r>
      <w:r>
        <w:rPr>
          <w:color w:val="000000"/>
        </w:rPr>
        <w:t xml:space="preserve">International Science and Technology Innovation Cooperation between Governments for National Key R&amp;D Program Projects </w:t>
      </w:r>
      <w:r>
        <w:rPr>
          <w:rFonts w:hint="eastAsia"/>
          <w:color w:val="000000"/>
        </w:rPr>
        <w:lastRenderedPageBreak/>
        <w:t>(</w:t>
      </w:r>
      <w:r>
        <w:rPr>
          <w:color w:val="000000"/>
        </w:rPr>
        <w:t>2023YFE0107700</w:t>
      </w:r>
      <w:r>
        <w:rPr>
          <w:rFonts w:hint="eastAsia"/>
          <w:color w:val="000000"/>
        </w:rPr>
        <w:t>), Guangzhou Municipal Science</w:t>
      </w:r>
      <w:r>
        <w:rPr>
          <w:rFonts w:hint="eastAsia"/>
        </w:rPr>
        <w:t xml:space="preserve"> and Technology Bureau (</w:t>
      </w:r>
      <w:r>
        <w:t>2025A04J4304</w:t>
      </w:r>
      <w:r>
        <w:rPr>
          <w:rFonts w:hint="eastAsia"/>
        </w:rPr>
        <w:t xml:space="preserve">), </w:t>
      </w:r>
      <w:r>
        <w:t xml:space="preserve">Shenzhen Science and Technology Innovation Program </w:t>
      </w:r>
      <w:r>
        <w:rPr>
          <w:rFonts w:ascii="宋体" w:eastAsia="宋体" w:hAnsi="宋体" w:cs="宋体" w:hint="eastAsia"/>
        </w:rPr>
        <w:t>(</w:t>
      </w:r>
      <w:r>
        <w:t>JCYJ20250604174809012</w:t>
      </w:r>
      <w:r>
        <w:rPr>
          <w:rFonts w:eastAsia="宋体" w:hint="eastAsia"/>
        </w:rPr>
        <w:t>)</w:t>
      </w:r>
      <w:r>
        <w:rPr>
          <w:rFonts w:hint="eastAsia"/>
        </w:rPr>
        <w:t>.</w:t>
      </w:r>
      <w:r>
        <w:rPr>
          <w:rFonts w:hint="eastAsia"/>
          <w:color w:val="000000"/>
        </w:rPr>
        <w:t xml:space="preserve"> </w:t>
      </w:r>
    </w:p>
    <w:p w14:paraId="1CFDA1C8" w14:textId="77777777" w:rsidR="00CA05B3" w:rsidRDefault="00000000">
      <w:pPr>
        <w:pStyle w:val="Heading1"/>
      </w:pPr>
      <w:r>
        <w:rPr>
          <w:rFonts w:hint="eastAsia"/>
        </w:rPr>
        <w:t>Author contributions</w:t>
      </w:r>
    </w:p>
    <w:p w14:paraId="4934327F" w14:textId="77777777" w:rsidR="00CA05B3" w:rsidRDefault="00000000">
      <w:pPr>
        <w:pStyle w:val="normalfirst"/>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宋体" w:hint="eastAsia"/>
        </w:rPr>
        <w:t xml:space="preserve">M.L., X.M.W. and S.G.R. designed the website. </w:t>
      </w:r>
      <w:r>
        <w:t>Data interpretation and manuscript write-up were carried out by M.L., M.H., and S.G.R., with contributions from all other authors. All authors reviewed and approved the final manuscript.</w:t>
      </w:r>
    </w:p>
    <w:p w14:paraId="72821EDB" w14:textId="77777777" w:rsidR="00CA05B3" w:rsidRDefault="00000000">
      <w:pPr>
        <w:pStyle w:val="Heading1"/>
      </w:pPr>
      <w:r>
        <w:t>Reference</w:t>
      </w:r>
    </w:p>
    <w:p w14:paraId="04E6A6E8" w14:textId="77777777" w:rsidR="00CA05B3" w:rsidRDefault="00000000">
      <w:pPr>
        <w:pStyle w:val="Bibliography1"/>
      </w:pPr>
      <w:bookmarkStart w:id="20"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1F9DC2C3" w14:textId="77777777" w:rsidR="00CA05B3" w:rsidRDefault="00000000">
      <w:pPr>
        <w:pStyle w:val="Bibliography1"/>
      </w:pPr>
      <w:r>
        <w:t xml:space="preserve">Alexandrov, Ludmil B., Jaegil Kim, Nicholas J. Haradhvala, et al. 2020. ‘The Repertoire of Mutational Signatures in Human Cancer’. </w:t>
      </w:r>
      <w:r>
        <w:rPr>
          <w:i/>
        </w:rPr>
        <w:t>Nature</w:t>
      </w:r>
      <w:r>
        <w:t xml:space="preserve"> 578 (7793): 94–101. https://doi.org/10.1038/s41586-020-1943-3.</w:t>
      </w:r>
    </w:p>
    <w:p w14:paraId="02457A53" w14:textId="77777777" w:rsidR="00CA05B3" w:rsidRDefault="00000000">
      <w:pPr>
        <w:pStyle w:val="Bibliography1"/>
      </w:pPr>
      <w:r>
        <w:t xml:space="preserve">Alexandrov, Ludmil B., Serena Nik-zainal, David C. Wedge, and Samuel A. J. R. Aparicio. 2014. </w:t>
      </w:r>
      <w:r>
        <w:rPr>
          <w:i/>
        </w:rPr>
        <w:t>Signatures of Mutational Processes in Human Cancer</w:t>
      </w:r>
      <w:r>
        <w:t>. 500 (7463): 415–21. https://doi.org/10.1038/nature12477.Signatures.</w:t>
      </w:r>
    </w:p>
    <w:p w14:paraId="3E728091" w14:textId="77777777" w:rsidR="00CA05B3" w:rsidRDefault="00000000">
      <w:pPr>
        <w:pStyle w:val="Bibliography1"/>
      </w:pPr>
      <w:r>
        <w:lastRenderedPageBreak/>
        <w:t xml:space="preserve">Boot, Arnoud, Mi Ni Huang, Alvin W. T. Ng, et al. 2018. ‘In-Depth Characterization of the Cisplatin Mutational Signature in Human Cell Lines and in Esophageal and Liver Tumors’. </w:t>
      </w:r>
      <w:r>
        <w:rPr>
          <w:i/>
        </w:rPr>
        <w:t>Genome Research</w:t>
      </w:r>
      <w:r>
        <w:t xml:space="preserve"> 28 (5): 654–65. https://doi.org/10.1101/gr.230219.117.</w:t>
      </w:r>
    </w:p>
    <w:p w14:paraId="49BB2048" w14:textId="77777777" w:rsidR="00CA05B3" w:rsidRDefault="00000000">
      <w:pPr>
        <w:pStyle w:val="Bibliography1"/>
      </w:pPr>
      <w:r>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2AD24053" w14:textId="77777777" w:rsidR="00CA05B3" w:rsidRDefault="00000000">
      <w:pPr>
        <w:pStyle w:val="Bibliography1"/>
      </w:pPr>
      <w:r>
        <w:t xml:space="preserve">Boot, Arnoud, Alvin W. 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5EFA85A5" w14:textId="77777777" w:rsidR="00CA05B3" w:rsidRDefault="00000000">
      <w:pPr>
        <w:pStyle w:val="Bibliography1"/>
      </w:pPr>
      <w:r>
        <w:t xml:space="preserve">Caipa Garcia, Angela L., Jill E. Kucab, Halh Al-Serori, et al. 2024. ‘Tissue Organoid Cultures Metabolize Dietary Carcinogens Proficiently and Are Effective Models for DNA Adduct Formation’. </w:t>
      </w:r>
      <w:r>
        <w:rPr>
          <w:i/>
        </w:rPr>
        <w:t>Chemical Research in Toxicology</w:t>
      </w:r>
      <w:r>
        <w:t xml:space="preserve"> 37 (2): 234–47. https://doi.org/10.1021/acs.chemrestox.3c00255.</w:t>
      </w:r>
    </w:p>
    <w:p w14:paraId="4BE5EE72" w14:textId="77777777" w:rsidR="00CA05B3" w:rsidRDefault="00000000">
      <w:pPr>
        <w:pStyle w:val="Bibliography1"/>
      </w:pPr>
      <w:r>
        <w:t xml:space="preserve">Chen, Lei, Chong Zhang, Ruidong Xue, et al. 2024. ‘Deep Whole-Genome Analysis of 494 Hepatocellular Carcinomas’. </w:t>
      </w:r>
      <w:r>
        <w:rPr>
          <w:i/>
        </w:rPr>
        <w:t>Nature</w:t>
      </w:r>
      <w:r>
        <w:t>, ahead of print, March 21. https://doi.org/10.1038/s41586-024-07054-3.</w:t>
      </w:r>
    </w:p>
    <w:p w14:paraId="4EF96DA5" w14:textId="77777777" w:rsidR="00CA05B3" w:rsidRDefault="00000000">
      <w:pPr>
        <w:pStyle w:val="Bibliography1"/>
      </w:pPr>
      <w:r>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51F031CD" w14:textId="77777777" w:rsidR="00CA05B3" w:rsidRDefault="00000000">
      <w:pPr>
        <w:pStyle w:val="Bibliography1"/>
      </w:pPr>
      <w:r>
        <w:lastRenderedPageBreak/>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06B35DAB" w14:textId="77777777" w:rsidR="00CA05B3" w:rsidRDefault="00000000">
      <w:pPr>
        <w:pStyle w:val="Bibliography1"/>
      </w:pPr>
      <w:r>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2A1D1495" w14:textId="77777777" w:rsidR="00CA05B3" w:rsidRDefault="00000000">
      <w:pPr>
        <w:pStyle w:val="Bibliography1"/>
      </w:pPr>
      <w:r>
        <w:t xml:space="preserve">Huang, Mi Ni, Willie Yu, Wei Wei Teoh, et al. 2017. ‘Genome-Scale Mutational Signatures of Aflatoxin in Cells, Mice, and Human Tumors’. </w:t>
      </w:r>
      <w:r>
        <w:rPr>
          <w:i/>
        </w:rPr>
        <w:t>Genome Research</w:t>
      </w:r>
      <w:r>
        <w:t xml:space="preserve"> 27 (9): 1475–86. https://doi.org/10.1101/gr.220038.116.</w:t>
      </w:r>
    </w:p>
    <w:p w14:paraId="38AB5918" w14:textId="77777777" w:rsidR="00CA05B3" w:rsidRDefault="00000000">
      <w:pPr>
        <w:pStyle w:val="Bibliography1"/>
      </w:pPr>
      <w:r>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2085B3B4" w14:textId="77777777" w:rsidR="00CA05B3" w:rsidRDefault="00000000">
      <w:pPr>
        <w:pStyle w:val="Bibliography1"/>
      </w:pPr>
      <w:r>
        <w:t xml:space="preserve">Islam, S. M. Ashiqul, Marcos Díaz-Gay, Yang Wu, et al. 2022. ‘Uncovering Novel Mutational Signatures by de Novo Extraction with SigProfilerExtractor’. </w:t>
      </w:r>
      <w:r>
        <w:rPr>
          <w:i/>
        </w:rPr>
        <w:t>Cell Genomics</w:t>
      </w:r>
      <w:r>
        <w:t xml:space="preserve"> 2 (11). https://doi.org/10.1016/j.xgen.2022.100179.</w:t>
      </w:r>
    </w:p>
    <w:p w14:paraId="444BCCE4" w14:textId="77777777" w:rsidR="00CA05B3" w:rsidRDefault="00000000">
      <w:pPr>
        <w:pStyle w:val="Bibliography1"/>
      </w:pPr>
      <w:r>
        <w:t xml:space="preserve">Jin, Hu, Doga C. Gulhan, Benedikt Geiger, et al. 2024. ‘Accurate and Sensitive Mutational Signature Analysis with MuSiCal’. </w:t>
      </w:r>
      <w:r>
        <w:rPr>
          <w:i/>
        </w:rPr>
        <w:t>Nature Genetics</w:t>
      </w:r>
      <w:r>
        <w:t xml:space="preserve"> 56 (3): 541–52. https://doi.org/10.1038/s41588-024-01659-0.</w:t>
      </w:r>
    </w:p>
    <w:p w14:paraId="2B003221" w14:textId="77777777" w:rsidR="00CA05B3" w:rsidRDefault="00000000">
      <w:pPr>
        <w:pStyle w:val="Bibliography1"/>
      </w:pPr>
      <w:r>
        <w:t xml:space="preserve">Koh, Gene Ching Chiek, Arjun Scott Nanda, Giuseppe Rinaldi, et al. 2025a. ‘A Redefined InDel Taxonomy Provides Insights into Mutational Signatures’. </w:t>
      </w:r>
      <w:r>
        <w:rPr>
          <w:i/>
        </w:rPr>
        <w:t>Nature Genetics</w:t>
      </w:r>
      <w:r>
        <w:t>, ahead of print, April 10. https://doi.org/10.1038/s41588-025-02152-y.</w:t>
      </w:r>
    </w:p>
    <w:p w14:paraId="418FD3A9" w14:textId="77777777" w:rsidR="00CA05B3" w:rsidRDefault="00000000">
      <w:pPr>
        <w:pStyle w:val="Bibliography1"/>
      </w:pPr>
      <w:r>
        <w:lastRenderedPageBreak/>
        <w:t xml:space="preserve">Koh, Gene Ching Chiek, Arjun Scott Nanda, Giuseppe Rinaldi, et al. 2025b. ‘A Redefined InDel Taxonomy Provides Insights into Mutational Signatures’. </w:t>
      </w:r>
      <w:r>
        <w:rPr>
          <w:i/>
        </w:rPr>
        <w:t>Nature Genetics</w:t>
      </w:r>
      <w:r>
        <w:t>, ahead of print, April 10. https://doi.org/10.1038/s41588-025-02152-y.</w:t>
      </w:r>
    </w:p>
    <w:p w14:paraId="45B7D2A9" w14:textId="77777777" w:rsidR="00CA05B3" w:rsidRDefault="00000000">
      <w:pPr>
        <w:pStyle w:val="Bibliography1"/>
      </w:pPr>
      <w:r>
        <w:t xml:space="preserve">Kucab, Jill E., Xueqing Zou, Sandro Morganella, et al. 2019. ‘A Compendium of Mutational Signatures of Environmental Agents’. </w:t>
      </w:r>
      <w:r>
        <w:rPr>
          <w:i/>
        </w:rPr>
        <w:t>Cell</w:t>
      </w:r>
      <w:r>
        <w:t xml:space="preserve"> 177 (4): 821-836.e16. https://doi.org/10.1016/j.cell.2019.03.001.</w:t>
      </w:r>
    </w:p>
    <w:p w14:paraId="3819762F" w14:textId="77777777" w:rsidR="00CA05B3" w:rsidRDefault="00000000">
      <w:pPr>
        <w:pStyle w:val="Bibliography1"/>
      </w:pPr>
      <w:r>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43D7CC48" w14:textId="77777777" w:rsidR="00CA05B3" w:rsidRDefault="00000000">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48C4AC84" w14:textId="77777777" w:rsidR="00CA05B3" w:rsidRDefault="00000000">
      <w:pPr>
        <w:pStyle w:val="Bibliography1"/>
      </w:pPr>
      <w:r>
        <w:t xml:space="preserve">Nik-Zainal, Serena, Ludmil B. Alexandrov, David C. Wedge, et al. 2012. ‘Mutational Processes Molding the Genomes of 21 Breast Cancers’. </w:t>
      </w:r>
      <w:r>
        <w:rPr>
          <w:i/>
        </w:rPr>
        <w:t>Cell</w:t>
      </w:r>
      <w:r>
        <w:t xml:space="preserve"> 149 (5): 979–93. https://doi.org/10.1016/j.cell.2012.04.024.</w:t>
      </w:r>
    </w:p>
    <w:p w14:paraId="3C1B0CEF" w14:textId="77777777" w:rsidR="00CA05B3" w:rsidRDefault="00000000">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74CC0383" w14:textId="77777777" w:rsidR="00CA05B3" w:rsidRDefault="00000000">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51AFBEDC" w14:textId="77777777" w:rsidR="00CA05B3" w:rsidRDefault="00000000">
      <w:pPr>
        <w:pStyle w:val="Bibliography1"/>
      </w:pPr>
      <w:r>
        <w:lastRenderedPageBreak/>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5E39EAF1" w14:textId="77777777" w:rsidR="00CA05B3" w:rsidRDefault="00000000">
      <w:pPr>
        <w:pStyle w:val="Bibliography1"/>
      </w:pPr>
      <w:r>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20"/>
    </w:p>
    <w:p w14:paraId="6EF70467" w14:textId="065DDC53" w:rsidR="00F340DC" w:rsidRDefault="00F340DC"/>
    <w:p w14:paraId="59DA1AA4" w14:textId="77777777" w:rsidR="00F340DC" w:rsidRDefault="00F340DC">
      <w:pPr>
        <w:spacing w:after="0" w:line="240" w:lineRule="auto"/>
        <w:ind w:firstLine="0"/>
      </w:pPr>
      <w:r>
        <w:br w:type="page"/>
      </w:r>
    </w:p>
    <w:tbl>
      <w:tblPr>
        <w:tblStyle w:val="TableGrid"/>
        <w:tblW w:w="9351" w:type="dxa"/>
        <w:tblLayout w:type="fixed"/>
        <w:tblLook w:val="04A0" w:firstRow="1" w:lastRow="0" w:firstColumn="1" w:lastColumn="0" w:noHBand="0" w:noVBand="1"/>
      </w:tblPr>
      <w:tblGrid>
        <w:gridCol w:w="1555"/>
        <w:gridCol w:w="1275"/>
        <w:gridCol w:w="1843"/>
        <w:gridCol w:w="1559"/>
        <w:gridCol w:w="1276"/>
        <w:gridCol w:w="1843"/>
      </w:tblGrid>
      <w:tr w:rsidR="00F340DC" w:rsidRPr="00F340DC" w14:paraId="2C0585BD" w14:textId="77777777" w:rsidTr="00F340DC">
        <w:trPr>
          <w:trHeight w:val="855"/>
        </w:trPr>
        <w:tc>
          <w:tcPr>
            <w:tcW w:w="1555" w:type="dxa"/>
            <w:hideMark/>
          </w:tcPr>
          <w:p w14:paraId="49B0EB07" w14:textId="6835D9B1" w:rsidR="00F340DC" w:rsidRPr="00F340DC" w:rsidRDefault="00F340DC" w:rsidP="00F340DC">
            <w:pPr>
              <w:spacing w:after="0" w:line="240" w:lineRule="auto"/>
              <w:ind w:firstLine="0"/>
              <w:jc w:val="center"/>
              <w:rPr>
                <w:b/>
                <w:bCs/>
              </w:rPr>
            </w:pPr>
            <w:r w:rsidRPr="00F340DC">
              <w:rPr>
                <w:b/>
                <w:bCs/>
              </w:rPr>
              <w:lastRenderedPageBreak/>
              <w:t>89</w:t>
            </w:r>
            <w:r>
              <w:rPr>
                <w:rFonts w:eastAsia="宋体" w:hint="eastAsia"/>
                <w:b/>
                <w:bCs/>
              </w:rPr>
              <w:t>/476</w:t>
            </w:r>
            <w:r w:rsidRPr="00F340DC">
              <w:rPr>
                <w:b/>
                <w:bCs/>
              </w:rPr>
              <w:t xml:space="preserve">-Type </w:t>
            </w:r>
            <w:bookmarkStart w:id="21" w:name="OLE_LINK2"/>
            <w:r w:rsidRPr="00F340DC">
              <w:rPr>
                <w:b/>
                <w:bCs/>
              </w:rPr>
              <w:t>Signature</w:t>
            </w:r>
            <w:bookmarkEnd w:id="21"/>
          </w:p>
        </w:tc>
        <w:tc>
          <w:tcPr>
            <w:tcW w:w="1275" w:type="dxa"/>
            <w:hideMark/>
          </w:tcPr>
          <w:p w14:paraId="233547C8" w14:textId="017E24ED" w:rsidR="00F340DC" w:rsidRPr="00F340DC" w:rsidRDefault="00F340DC" w:rsidP="00F340DC">
            <w:pPr>
              <w:spacing w:after="0" w:line="240" w:lineRule="auto"/>
              <w:ind w:firstLine="0"/>
              <w:jc w:val="center"/>
              <w:rPr>
                <w:rFonts w:eastAsia="宋体" w:hint="eastAsia"/>
                <w:b/>
                <w:bCs/>
              </w:rPr>
            </w:pPr>
            <w:r w:rsidRPr="00F340DC">
              <w:rPr>
                <w:b/>
                <w:bCs/>
              </w:rPr>
              <w:t>83-Type Signature</w:t>
            </w:r>
          </w:p>
        </w:tc>
        <w:tc>
          <w:tcPr>
            <w:tcW w:w="1843" w:type="dxa"/>
            <w:hideMark/>
          </w:tcPr>
          <w:p w14:paraId="4E0F8E22" w14:textId="77777777" w:rsidR="00F340DC" w:rsidRPr="00F340DC" w:rsidRDefault="00F340DC" w:rsidP="00F340DC">
            <w:pPr>
              <w:spacing w:after="0" w:line="240" w:lineRule="auto"/>
              <w:ind w:firstLine="0"/>
              <w:jc w:val="center"/>
              <w:rPr>
                <w:b/>
                <w:bCs/>
              </w:rPr>
            </w:pPr>
            <w:r w:rsidRPr="00F340DC">
              <w:rPr>
                <w:b/>
                <w:bCs/>
              </w:rPr>
              <w:t>Proposed Etiology</w:t>
            </w:r>
          </w:p>
        </w:tc>
        <w:tc>
          <w:tcPr>
            <w:tcW w:w="1559" w:type="dxa"/>
            <w:hideMark/>
          </w:tcPr>
          <w:p w14:paraId="45CC9D52" w14:textId="25691327" w:rsidR="00F340DC" w:rsidRPr="00F340DC" w:rsidRDefault="00F340DC" w:rsidP="00F340DC">
            <w:pPr>
              <w:spacing w:after="0" w:line="240" w:lineRule="auto"/>
              <w:ind w:firstLine="0"/>
              <w:jc w:val="center"/>
              <w:rPr>
                <w:b/>
                <w:bCs/>
              </w:rPr>
            </w:pPr>
            <w:r w:rsidRPr="00F340DC">
              <w:rPr>
                <w:b/>
                <w:bCs/>
              </w:rPr>
              <w:t>89</w:t>
            </w:r>
            <w:r>
              <w:rPr>
                <w:rFonts w:eastAsia="宋体" w:hint="eastAsia"/>
                <w:b/>
                <w:bCs/>
              </w:rPr>
              <w:t>/476</w:t>
            </w:r>
            <w:r w:rsidRPr="00F340DC">
              <w:rPr>
                <w:b/>
                <w:bCs/>
              </w:rPr>
              <w:t>-Type Signature</w:t>
            </w:r>
          </w:p>
        </w:tc>
        <w:tc>
          <w:tcPr>
            <w:tcW w:w="1276" w:type="dxa"/>
            <w:hideMark/>
          </w:tcPr>
          <w:p w14:paraId="55BC2D00" w14:textId="19F38BE3" w:rsidR="00F340DC" w:rsidRPr="00F340DC" w:rsidRDefault="00F340DC" w:rsidP="00F340DC">
            <w:pPr>
              <w:spacing w:after="0" w:line="240" w:lineRule="auto"/>
              <w:ind w:firstLine="0"/>
              <w:jc w:val="center"/>
              <w:rPr>
                <w:b/>
                <w:bCs/>
              </w:rPr>
            </w:pPr>
            <w:r w:rsidRPr="00F340DC">
              <w:rPr>
                <w:b/>
                <w:bCs/>
              </w:rPr>
              <w:t>83-Type Signature</w:t>
            </w:r>
          </w:p>
        </w:tc>
        <w:tc>
          <w:tcPr>
            <w:tcW w:w="1843" w:type="dxa"/>
            <w:hideMark/>
          </w:tcPr>
          <w:p w14:paraId="2F174D84" w14:textId="4E050365" w:rsidR="00F340DC" w:rsidRPr="00F340DC" w:rsidRDefault="00F340DC" w:rsidP="00F340DC">
            <w:pPr>
              <w:spacing w:after="0" w:line="240" w:lineRule="auto"/>
              <w:ind w:firstLine="0"/>
              <w:jc w:val="center"/>
              <w:rPr>
                <w:b/>
                <w:bCs/>
              </w:rPr>
            </w:pPr>
            <w:r w:rsidRPr="00F340DC">
              <w:rPr>
                <w:b/>
                <w:bCs/>
              </w:rPr>
              <w:t>Proposed Etiology</w:t>
            </w:r>
          </w:p>
        </w:tc>
      </w:tr>
      <w:tr w:rsidR="00F340DC" w:rsidRPr="00F340DC" w14:paraId="38C205DF" w14:textId="77777777" w:rsidTr="00F340DC">
        <w:trPr>
          <w:trHeight w:val="285"/>
        </w:trPr>
        <w:tc>
          <w:tcPr>
            <w:tcW w:w="1555" w:type="dxa"/>
            <w:noWrap/>
            <w:vAlign w:val="center"/>
            <w:hideMark/>
          </w:tcPr>
          <w:p w14:paraId="6AE873C2" w14:textId="77777777" w:rsidR="00F340DC" w:rsidRPr="00F340DC" w:rsidRDefault="00F340DC" w:rsidP="00F340DC">
            <w:pPr>
              <w:spacing w:after="0" w:line="240" w:lineRule="auto"/>
              <w:ind w:firstLine="0"/>
              <w:jc w:val="center"/>
            </w:pPr>
            <w:r w:rsidRPr="00F340DC">
              <w:t>InsDel1a</w:t>
            </w:r>
          </w:p>
        </w:tc>
        <w:tc>
          <w:tcPr>
            <w:tcW w:w="1275" w:type="dxa"/>
            <w:vMerge w:val="restart"/>
            <w:noWrap/>
            <w:vAlign w:val="center"/>
            <w:hideMark/>
          </w:tcPr>
          <w:p w14:paraId="72ADB9FB" w14:textId="77777777" w:rsidR="00F340DC" w:rsidRPr="00F340DC" w:rsidRDefault="00F340DC" w:rsidP="00F340DC">
            <w:pPr>
              <w:spacing w:after="0" w:line="240" w:lineRule="auto"/>
              <w:ind w:firstLine="0"/>
              <w:jc w:val="center"/>
            </w:pPr>
            <w:r w:rsidRPr="00F340DC">
              <w:t>C_ID1</w:t>
            </w:r>
          </w:p>
        </w:tc>
        <w:tc>
          <w:tcPr>
            <w:tcW w:w="1843" w:type="dxa"/>
            <w:noWrap/>
            <w:vAlign w:val="center"/>
            <w:hideMark/>
          </w:tcPr>
          <w:p w14:paraId="0DC4D097" w14:textId="77777777" w:rsidR="00F340DC" w:rsidRPr="00F340DC" w:rsidRDefault="00F340DC" w:rsidP="00F340DC">
            <w:pPr>
              <w:spacing w:after="0" w:line="240" w:lineRule="auto"/>
              <w:ind w:firstLine="0"/>
              <w:jc w:val="center"/>
            </w:pPr>
          </w:p>
        </w:tc>
        <w:tc>
          <w:tcPr>
            <w:tcW w:w="1559" w:type="dxa"/>
            <w:noWrap/>
            <w:vAlign w:val="center"/>
            <w:hideMark/>
          </w:tcPr>
          <w:p w14:paraId="5282F4D1" w14:textId="77777777" w:rsidR="00F340DC" w:rsidRPr="00F340DC" w:rsidRDefault="00F340DC" w:rsidP="00F340DC">
            <w:pPr>
              <w:spacing w:after="0" w:line="240" w:lineRule="auto"/>
              <w:ind w:firstLine="0"/>
              <w:jc w:val="center"/>
            </w:pPr>
            <w:r w:rsidRPr="00F340DC">
              <w:t>InsDel16</w:t>
            </w:r>
          </w:p>
        </w:tc>
        <w:tc>
          <w:tcPr>
            <w:tcW w:w="1276" w:type="dxa"/>
            <w:noWrap/>
            <w:vAlign w:val="center"/>
            <w:hideMark/>
          </w:tcPr>
          <w:p w14:paraId="04F6C61A" w14:textId="77777777" w:rsidR="00F340DC" w:rsidRPr="00F340DC" w:rsidRDefault="00F340DC" w:rsidP="00F340DC">
            <w:pPr>
              <w:spacing w:after="0" w:line="240" w:lineRule="auto"/>
              <w:ind w:firstLine="0"/>
              <w:jc w:val="center"/>
            </w:pPr>
            <w:r w:rsidRPr="00F340DC">
              <w:t>C_ID16</w:t>
            </w:r>
          </w:p>
        </w:tc>
        <w:tc>
          <w:tcPr>
            <w:tcW w:w="1843" w:type="dxa"/>
            <w:noWrap/>
            <w:vAlign w:val="center"/>
            <w:hideMark/>
          </w:tcPr>
          <w:p w14:paraId="0A1A9490" w14:textId="77777777" w:rsidR="00F340DC" w:rsidRPr="00F340DC" w:rsidRDefault="00F340DC" w:rsidP="00F340DC">
            <w:pPr>
              <w:spacing w:after="0" w:line="240" w:lineRule="auto"/>
              <w:ind w:firstLine="0"/>
              <w:jc w:val="center"/>
            </w:pPr>
          </w:p>
        </w:tc>
      </w:tr>
      <w:tr w:rsidR="00F340DC" w:rsidRPr="00F340DC" w14:paraId="78A81E0C" w14:textId="77777777" w:rsidTr="00F340DC">
        <w:trPr>
          <w:trHeight w:val="285"/>
        </w:trPr>
        <w:tc>
          <w:tcPr>
            <w:tcW w:w="1555" w:type="dxa"/>
            <w:noWrap/>
            <w:vAlign w:val="center"/>
            <w:hideMark/>
          </w:tcPr>
          <w:p w14:paraId="06680046" w14:textId="77777777" w:rsidR="00F340DC" w:rsidRPr="00F340DC" w:rsidRDefault="00F340DC" w:rsidP="00F340DC">
            <w:pPr>
              <w:spacing w:after="0" w:line="240" w:lineRule="auto"/>
              <w:ind w:firstLine="0"/>
              <w:jc w:val="center"/>
            </w:pPr>
            <w:r w:rsidRPr="00F340DC">
              <w:t>InsDel1b</w:t>
            </w:r>
          </w:p>
        </w:tc>
        <w:tc>
          <w:tcPr>
            <w:tcW w:w="1275" w:type="dxa"/>
            <w:vMerge/>
            <w:vAlign w:val="center"/>
            <w:hideMark/>
          </w:tcPr>
          <w:p w14:paraId="5EDF431D" w14:textId="77777777" w:rsidR="00F340DC" w:rsidRPr="00F340DC" w:rsidRDefault="00F340DC" w:rsidP="00F340DC">
            <w:pPr>
              <w:spacing w:after="0" w:line="240" w:lineRule="auto"/>
              <w:ind w:firstLine="0"/>
              <w:jc w:val="center"/>
            </w:pPr>
          </w:p>
        </w:tc>
        <w:tc>
          <w:tcPr>
            <w:tcW w:w="1843" w:type="dxa"/>
            <w:noWrap/>
            <w:vAlign w:val="center"/>
            <w:hideMark/>
          </w:tcPr>
          <w:p w14:paraId="361E8687" w14:textId="77777777" w:rsidR="00F340DC" w:rsidRPr="00F340DC" w:rsidRDefault="00F340DC" w:rsidP="00F340DC">
            <w:pPr>
              <w:spacing w:after="0" w:line="240" w:lineRule="auto"/>
              <w:ind w:firstLine="0"/>
              <w:jc w:val="center"/>
            </w:pPr>
            <w:r w:rsidRPr="00F340DC">
              <w:t>POLE and dMMR</w:t>
            </w:r>
          </w:p>
        </w:tc>
        <w:tc>
          <w:tcPr>
            <w:tcW w:w="1559" w:type="dxa"/>
            <w:noWrap/>
            <w:vAlign w:val="center"/>
            <w:hideMark/>
          </w:tcPr>
          <w:p w14:paraId="4C1BBE76" w14:textId="77777777" w:rsidR="00F340DC" w:rsidRPr="00F340DC" w:rsidRDefault="00F340DC" w:rsidP="00F340DC">
            <w:pPr>
              <w:spacing w:after="0" w:line="240" w:lineRule="auto"/>
              <w:ind w:firstLine="0"/>
              <w:jc w:val="center"/>
            </w:pPr>
            <w:r w:rsidRPr="00F340DC">
              <w:t>InsDel17</w:t>
            </w:r>
          </w:p>
        </w:tc>
        <w:tc>
          <w:tcPr>
            <w:tcW w:w="1276" w:type="dxa"/>
            <w:noWrap/>
            <w:vAlign w:val="center"/>
            <w:hideMark/>
          </w:tcPr>
          <w:p w14:paraId="5F669167" w14:textId="77777777" w:rsidR="00F340DC" w:rsidRPr="00F340DC" w:rsidRDefault="00F340DC" w:rsidP="00F340DC">
            <w:pPr>
              <w:spacing w:after="0" w:line="240" w:lineRule="auto"/>
              <w:ind w:firstLine="0"/>
              <w:jc w:val="center"/>
            </w:pPr>
            <w:r w:rsidRPr="00F340DC">
              <w:t>C_ID17</w:t>
            </w:r>
          </w:p>
        </w:tc>
        <w:tc>
          <w:tcPr>
            <w:tcW w:w="1843" w:type="dxa"/>
            <w:noWrap/>
            <w:vAlign w:val="center"/>
            <w:hideMark/>
          </w:tcPr>
          <w:p w14:paraId="7CE502C4" w14:textId="77777777" w:rsidR="00F340DC" w:rsidRPr="00F340DC" w:rsidRDefault="00F340DC" w:rsidP="00F340DC">
            <w:pPr>
              <w:spacing w:after="0" w:line="240" w:lineRule="auto"/>
              <w:ind w:firstLine="0"/>
              <w:jc w:val="center"/>
            </w:pPr>
            <w:r w:rsidRPr="00F340DC">
              <w:t>TOP2A</w:t>
            </w:r>
          </w:p>
        </w:tc>
      </w:tr>
      <w:tr w:rsidR="00F340DC" w:rsidRPr="00F340DC" w14:paraId="6CDDFEF8" w14:textId="77777777" w:rsidTr="00F340DC">
        <w:trPr>
          <w:trHeight w:val="285"/>
        </w:trPr>
        <w:tc>
          <w:tcPr>
            <w:tcW w:w="1555" w:type="dxa"/>
            <w:noWrap/>
            <w:vAlign w:val="center"/>
            <w:hideMark/>
          </w:tcPr>
          <w:p w14:paraId="6495B482" w14:textId="77777777" w:rsidR="00F340DC" w:rsidRPr="00F340DC" w:rsidRDefault="00F340DC" w:rsidP="00F340DC">
            <w:pPr>
              <w:spacing w:after="0" w:line="240" w:lineRule="auto"/>
              <w:ind w:firstLine="0"/>
              <w:jc w:val="center"/>
            </w:pPr>
            <w:r w:rsidRPr="00F340DC">
              <w:t>InsDel1c</w:t>
            </w:r>
          </w:p>
        </w:tc>
        <w:tc>
          <w:tcPr>
            <w:tcW w:w="1275" w:type="dxa"/>
            <w:vMerge/>
            <w:vAlign w:val="center"/>
            <w:hideMark/>
          </w:tcPr>
          <w:p w14:paraId="5E3ACCB2" w14:textId="77777777" w:rsidR="00F340DC" w:rsidRPr="00F340DC" w:rsidRDefault="00F340DC" w:rsidP="00F340DC">
            <w:pPr>
              <w:spacing w:after="0" w:line="240" w:lineRule="auto"/>
              <w:ind w:firstLine="0"/>
              <w:jc w:val="center"/>
            </w:pPr>
          </w:p>
        </w:tc>
        <w:tc>
          <w:tcPr>
            <w:tcW w:w="1843" w:type="dxa"/>
            <w:noWrap/>
            <w:vAlign w:val="center"/>
            <w:hideMark/>
          </w:tcPr>
          <w:p w14:paraId="10CBB0F8" w14:textId="77777777" w:rsidR="00F340DC" w:rsidRPr="00F340DC" w:rsidRDefault="00F340DC" w:rsidP="00F340DC">
            <w:pPr>
              <w:spacing w:after="0" w:line="240" w:lineRule="auto"/>
              <w:ind w:firstLine="0"/>
              <w:jc w:val="center"/>
            </w:pPr>
            <w:r w:rsidRPr="00F340DC">
              <w:t>POLD1/POLE and dMMR</w:t>
            </w:r>
          </w:p>
        </w:tc>
        <w:tc>
          <w:tcPr>
            <w:tcW w:w="1559" w:type="dxa"/>
            <w:noWrap/>
            <w:vAlign w:val="center"/>
            <w:hideMark/>
          </w:tcPr>
          <w:p w14:paraId="7150C793" w14:textId="77777777" w:rsidR="00F340DC" w:rsidRPr="00F340DC" w:rsidRDefault="00F340DC" w:rsidP="00F340DC">
            <w:pPr>
              <w:spacing w:after="0" w:line="240" w:lineRule="auto"/>
              <w:ind w:firstLine="0"/>
              <w:jc w:val="center"/>
            </w:pPr>
            <w:r w:rsidRPr="00F340DC">
              <w:t>InsDel18</w:t>
            </w:r>
          </w:p>
        </w:tc>
        <w:tc>
          <w:tcPr>
            <w:tcW w:w="1276" w:type="dxa"/>
            <w:noWrap/>
            <w:vAlign w:val="center"/>
            <w:hideMark/>
          </w:tcPr>
          <w:p w14:paraId="4305360F" w14:textId="77777777" w:rsidR="00F340DC" w:rsidRPr="00F340DC" w:rsidRDefault="00F340DC" w:rsidP="00F340DC">
            <w:pPr>
              <w:spacing w:after="0" w:line="240" w:lineRule="auto"/>
              <w:ind w:firstLine="0"/>
              <w:jc w:val="center"/>
            </w:pPr>
            <w:r w:rsidRPr="00F340DC">
              <w:t>C_ID18</w:t>
            </w:r>
          </w:p>
        </w:tc>
        <w:tc>
          <w:tcPr>
            <w:tcW w:w="1843" w:type="dxa"/>
            <w:noWrap/>
            <w:vAlign w:val="center"/>
            <w:hideMark/>
          </w:tcPr>
          <w:p w14:paraId="39F7A767" w14:textId="77777777" w:rsidR="00F340DC" w:rsidRPr="00F340DC" w:rsidRDefault="00F340DC" w:rsidP="00F340DC">
            <w:pPr>
              <w:spacing w:after="0" w:line="240" w:lineRule="auto"/>
              <w:ind w:firstLine="0"/>
              <w:jc w:val="center"/>
            </w:pPr>
            <w:r w:rsidRPr="00F340DC">
              <w:t>Colibactin exposure</w:t>
            </w:r>
          </w:p>
        </w:tc>
      </w:tr>
      <w:tr w:rsidR="00F340DC" w:rsidRPr="00F340DC" w14:paraId="2FAD6FBB" w14:textId="77777777" w:rsidTr="00F340DC">
        <w:trPr>
          <w:trHeight w:val="285"/>
        </w:trPr>
        <w:tc>
          <w:tcPr>
            <w:tcW w:w="1555" w:type="dxa"/>
            <w:noWrap/>
            <w:vAlign w:val="center"/>
            <w:hideMark/>
          </w:tcPr>
          <w:p w14:paraId="1B8B6728" w14:textId="77777777" w:rsidR="00F340DC" w:rsidRPr="00F340DC" w:rsidRDefault="00F340DC" w:rsidP="00F340DC">
            <w:pPr>
              <w:spacing w:after="0" w:line="240" w:lineRule="auto"/>
              <w:ind w:firstLine="0"/>
              <w:jc w:val="center"/>
            </w:pPr>
            <w:r w:rsidRPr="00F340DC">
              <w:t>InsDel2a</w:t>
            </w:r>
          </w:p>
        </w:tc>
        <w:tc>
          <w:tcPr>
            <w:tcW w:w="1275" w:type="dxa"/>
            <w:vMerge w:val="restart"/>
            <w:noWrap/>
            <w:vAlign w:val="center"/>
            <w:hideMark/>
          </w:tcPr>
          <w:p w14:paraId="4E013522" w14:textId="77777777" w:rsidR="00F340DC" w:rsidRPr="00F340DC" w:rsidRDefault="00F340DC" w:rsidP="00F340DC">
            <w:pPr>
              <w:spacing w:after="0" w:line="240" w:lineRule="auto"/>
              <w:ind w:firstLine="0"/>
              <w:jc w:val="center"/>
            </w:pPr>
            <w:r w:rsidRPr="00F340DC">
              <w:t>C_ID2</w:t>
            </w:r>
          </w:p>
        </w:tc>
        <w:tc>
          <w:tcPr>
            <w:tcW w:w="1843" w:type="dxa"/>
            <w:noWrap/>
            <w:vAlign w:val="center"/>
            <w:hideMark/>
          </w:tcPr>
          <w:p w14:paraId="1F603DC2" w14:textId="77777777" w:rsidR="00F340DC" w:rsidRPr="00F340DC" w:rsidRDefault="00F340DC" w:rsidP="00F340DC">
            <w:pPr>
              <w:spacing w:after="0" w:line="240" w:lineRule="auto"/>
              <w:ind w:firstLine="0"/>
              <w:jc w:val="center"/>
            </w:pPr>
            <w:r w:rsidRPr="00F340DC">
              <w:t>dMMR</w:t>
            </w:r>
          </w:p>
        </w:tc>
        <w:tc>
          <w:tcPr>
            <w:tcW w:w="1559" w:type="dxa"/>
            <w:noWrap/>
            <w:vAlign w:val="center"/>
            <w:hideMark/>
          </w:tcPr>
          <w:p w14:paraId="4A2DFE3D" w14:textId="77777777" w:rsidR="00F340DC" w:rsidRPr="00F340DC" w:rsidRDefault="00F340DC" w:rsidP="00F340DC">
            <w:pPr>
              <w:spacing w:after="0" w:line="240" w:lineRule="auto"/>
              <w:ind w:firstLine="0"/>
              <w:jc w:val="center"/>
            </w:pPr>
            <w:r w:rsidRPr="00F340DC">
              <w:t>InsDel19a</w:t>
            </w:r>
          </w:p>
        </w:tc>
        <w:tc>
          <w:tcPr>
            <w:tcW w:w="1276" w:type="dxa"/>
            <w:vMerge w:val="restart"/>
            <w:noWrap/>
            <w:vAlign w:val="center"/>
            <w:hideMark/>
          </w:tcPr>
          <w:p w14:paraId="617F3DEE" w14:textId="77777777" w:rsidR="00F340DC" w:rsidRPr="00F340DC" w:rsidRDefault="00F340DC" w:rsidP="00F340DC">
            <w:pPr>
              <w:spacing w:after="0" w:line="240" w:lineRule="auto"/>
              <w:ind w:firstLine="0"/>
              <w:jc w:val="center"/>
            </w:pPr>
            <w:r w:rsidRPr="00F340DC">
              <w:t>C_ID19</w:t>
            </w:r>
          </w:p>
        </w:tc>
        <w:tc>
          <w:tcPr>
            <w:tcW w:w="1843" w:type="dxa"/>
            <w:noWrap/>
            <w:vAlign w:val="center"/>
            <w:hideMark/>
          </w:tcPr>
          <w:p w14:paraId="6977B025" w14:textId="77777777" w:rsidR="00F340DC" w:rsidRPr="00F340DC" w:rsidRDefault="00F340DC" w:rsidP="00F340DC">
            <w:pPr>
              <w:spacing w:after="0" w:line="240" w:lineRule="auto"/>
              <w:ind w:firstLine="0"/>
              <w:jc w:val="center"/>
            </w:pPr>
          </w:p>
        </w:tc>
      </w:tr>
      <w:tr w:rsidR="00F340DC" w:rsidRPr="00F340DC" w14:paraId="6D19B609" w14:textId="77777777" w:rsidTr="00F340DC">
        <w:trPr>
          <w:trHeight w:val="285"/>
        </w:trPr>
        <w:tc>
          <w:tcPr>
            <w:tcW w:w="1555" w:type="dxa"/>
            <w:noWrap/>
            <w:vAlign w:val="center"/>
            <w:hideMark/>
          </w:tcPr>
          <w:p w14:paraId="2BA42F2D" w14:textId="77777777" w:rsidR="00F340DC" w:rsidRPr="00F340DC" w:rsidRDefault="00F340DC" w:rsidP="00F340DC">
            <w:pPr>
              <w:spacing w:after="0" w:line="240" w:lineRule="auto"/>
              <w:ind w:firstLine="0"/>
              <w:jc w:val="center"/>
            </w:pPr>
            <w:r w:rsidRPr="00F340DC">
              <w:t>InsDel2b</w:t>
            </w:r>
          </w:p>
        </w:tc>
        <w:tc>
          <w:tcPr>
            <w:tcW w:w="1275" w:type="dxa"/>
            <w:vMerge/>
            <w:vAlign w:val="center"/>
            <w:hideMark/>
          </w:tcPr>
          <w:p w14:paraId="54B2ADCF" w14:textId="77777777" w:rsidR="00F340DC" w:rsidRPr="00F340DC" w:rsidRDefault="00F340DC" w:rsidP="00F340DC">
            <w:pPr>
              <w:spacing w:after="0" w:line="240" w:lineRule="auto"/>
              <w:ind w:firstLine="0"/>
              <w:jc w:val="center"/>
            </w:pPr>
          </w:p>
        </w:tc>
        <w:tc>
          <w:tcPr>
            <w:tcW w:w="1843" w:type="dxa"/>
            <w:noWrap/>
            <w:vAlign w:val="center"/>
            <w:hideMark/>
          </w:tcPr>
          <w:p w14:paraId="65C2BD95" w14:textId="77777777" w:rsidR="00F340DC" w:rsidRPr="00F340DC" w:rsidRDefault="00F340DC" w:rsidP="00F340DC">
            <w:pPr>
              <w:spacing w:after="0" w:line="240" w:lineRule="auto"/>
              <w:ind w:firstLine="0"/>
              <w:jc w:val="center"/>
            </w:pPr>
            <w:r w:rsidRPr="00F340DC">
              <w:t>dMMR</w:t>
            </w:r>
          </w:p>
        </w:tc>
        <w:tc>
          <w:tcPr>
            <w:tcW w:w="1559" w:type="dxa"/>
            <w:noWrap/>
            <w:vAlign w:val="center"/>
            <w:hideMark/>
          </w:tcPr>
          <w:p w14:paraId="7AEFDFBB" w14:textId="77777777" w:rsidR="00F340DC" w:rsidRPr="00F340DC" w:rsidRDefault="00F340DC" w:rsidP="00F340DC">
            <w:pPr>
              <w:spacing w:after="0" w:line="240" w:lineRule="auto"/>
              <w:ind w:firstLine="0"/>
              <w:jc w:val="center"/>
            </w:pPr>
            <w:r w:rsidRPr="00F340DC">
              <w:t>InsDel19b</w:t>
            </w:r>
          </w:p>
        </w:tc>
        <w:tc>
          <w:tcPr>
            <w:tcW w:w="1276" w:type="dxa"/>
            <w:vMerge/>
            <w:vAlign w:val="center"/>
            <w:hideMark/>
          </w:tcPr>
          <w:p w14:paraId="5F670AA2" w14:textId="77777777" w:rsidR="00F340DC" w:rsidRPr="00F340DC" w:rsidRDefault="00F340DC" w:rsidP="00F340DC">
            <w:pPr>
              <w:spacing w:after="0" w:line="240" w:lineRule="auto"/>
              <w:ind w:firstLine="0"/>
              <w:jc w:val="center"/>
            </w:pPr>
          </w:p>
        </w:tc>
        <w:tc>
          <w:tcPr>
            <w:tcW w:w="1843" w:type="dxa"/>
            <w:noWrap/>
            <w:vAlign w:val="center"/>
            <w:hideMark/>
          </w:tcPr>
          <w:p w14:paraId="0F0FD2E1" w14:textId="77777777" w:rsidR="00F340DC" w:rsidRPr="00F340DC" w:rsidRDefault="00F340DC" w:rsidP="00F340DC">
            <w:pPr>
              <w:spacing w:after="0" w:line="240" w:lineRule="auto"/>
              <w:ind w:firstLine="0"/>
              <w:jc w:val="center"/>
            </w:pPr>
          </w:p>
        </w:tc>
      </w:tr>
      <w:tr w:rsidR="00F340DC" w:rsidRPr="00F340DC" w14:paraId="288AB4FB" w14:textId="77777777" w:rsidTr="00F340DC">
        <w:trPr>
          <w:trHeight w:val="285"/>
        </w:trPr>
        <w:tc>
          <w:tcPr>
            <w:tcW w:w="1555" w:type="dxa"/>
            <w:noWrap/>
            <w:vAlign w:val="center"/>
            <w:hideMark/>
          </w:tcPr>
          <w:p w14:paraId="0E696F3C" w14:textId="77777777" w:rsidR="00F340DC" w:rsidRPr="00F340DC" w:rsidRDefault="00F340DC" w:rsidP="00F340DC">
            <w:pPr>
              <w:spacing w:after="0" w:line="240" w:lineRule="auto"/>
              <w:ind w:firstLine="0"/>
              <w:jc w:val="center"/>
            </w:pPr>
            <w:r w:rsidRPr="00F340DC">
              <w:t>InsDel2c</w:t>
            </w:r>
          </w:p>
        </w:tc>
        <w:tc>
          <w:tcPr>
            <w:tcW w:w="1275" w:type="dxa"/>
            <w:vMerge/>
            <w:vAlign w:val="center"/>
            <w:hideMark/>
          </w:tcPr>
          <w:p w14:paraId="7DDCFCED" w14:textId="77777777" w:rsidR="00F340DC" w:rsidRPr="00F340DC" w:rsidRDefault="00F340DC" w:rsidP="00F340DC">
            <w:pPr>
              <w:spacing w:after="0" w:line="240" w:lineRule="auto"/>
              <w:ind w:firstLine="0"/>
              <w:jc w:val="center"/>
            </w:pPr>
          </w:p>
        </w:tc>
        <w:tc>
          <w:tcPr>
            <w:tcW w:w="1843" w:type="dxa"/>
            <w:noWrap/>
            <w:vAlign w:val="center"/>
            <w:hideMark/>
          </w:tcPr>
          <w:p w14:paraId="21E00FC7" w14:textId="77777777" w:rsidR="00F340DC" w:rsidRPr="00F340DC" w:rsidRDefault="00F340DC" w:rsidP="00F340DC">
            <w:pPr>
              <w:spacing w:after="0" w:line="240" w:lineRule="auto"/>
              <w:ind w:firstLine="0"/>
              <w:jc w:val="center"/>
            </w:pPr>
            <w:r w:rsidRPr="00F340DC">
              <w:t>dMMR</w:t>
            </w:r>
          </w:p>
        </w:tc>
        <w:tc>
          <w:tcPr>
            <w:tcW w:w="1559" w:type="dxa"/>
            <w:noWrap/>
            <w:vAlign w:val="center"/>
            <w:hideMark/>
          </w:tcPr>
          <w:p w14:paraId="2BCA0C8D" w14:textId="77777777" w:rsidR="00F340DC" w:rsidRPr="00F340DC" w:rsidRDefault="00F340DC" w:rsidP="00F340DC">
            <w:pPr>
              <w:spacing w:after="0" w:line="240" w:lineRule="auto"/>
              <w:ind w:firstLine="0"/>
              <w:jc w:val="center"/>
            </w:pPr>
            <w:r w:rsidRPr="00F340DC">
              <w:t>InsDel23</w:t>
            </w:r>
          </w:p>
        </w:tc>
        <w:tc>
          <w:tcPr>
            <w:tcW w:w="1276" w:type="dxa"/>
            <w:noWrap/>
            <w:vAlign w:val="center"/>
            <w:hideMark/>
          </w:tcPr>
          <w:p w14:paraId="01504D1A" w14:textId="77777777" w:rsidR="00F340DC" w:rsidRPr="00F340DC" w:rsidRDefault="00F340DC" w:rsidP="00F340DC">
            <w:pPr>
              <w:spacing w:after="0" w:line="240" w:lineRule="auto"/>
              <w:ind w:firstLine="0"/>
              <w:jc w:val="center"/>
            </w:pPr>
            <w:r w:rsidRPr="00F340DC">
              <w:t>C_ID23</w:t>
            </w:r>
          </w:p>
        </w:tc>
        <w:tc>
          <w:tcPr>
            <w:tcW w:w="1843" w:type="dxa"/>
            <w:noWrap/>
            <w:vAlign w:val="center"/>
            <w:hideMark/>
          </w:tcPr>
          <w:p w14:paraId="00AA83B0" w14:textId="77777777" w:rsidR="00F340DC" w:rsidRPr="00F340DC" w:rsidRDefault="00F340DC" w:rsidP="00F340DC">
            <w:pPr>
              <w:spacing w:after="0" w:line="240" w:lineRule="auto"/>
              <w:ind w:firstLine="0"/>
              <w:jc w:val="center"/>
            </w:pPr>
            <w:r w:rsidRPr="00F340DC">
              <w:t>AA exposure</w:t>
            </w:r>
          </w:p>
        </w:tc>
      </w:tr>
      <w:tr w:rsidR="00F340DC" w:rsidRPr="00F340DC" w14:paraId="3798C5C1" w14:textId="77777777" w:rsidTr="00F340DC">
        <w:trPr>
          <w:trHeight w:val="285"/>
        </w:trPr>
        <w:tc>
          <w:tcPr>
            <w:tcW w:w="1555" w:type="dxa"/>
            <w:noWrap/>
            <w:vAlign w:val="center"/>
            <w:hideMark/>
          </w:tcPr>
          <w:p w14:paraId="6C4DCF71" w14:textId="77777777" w:rsidR="00F340DC" w:rsidRPr="00F340DC" w:rsidRDefault="00F340DC" w:rsidP="00F340DC">
            <w:pPr>
              <w:spacing w:after="0" w:line="240" w:lineRule="auto"/>
              <w:ind w:firstLine="0"/>
              <w:jc w:val="center"/>
            </w:pPr>
            <w:r w:rsidRPr="00F340DC">
              <w:t>InsDel3a</w:t>
            </w:r>
          </w:p>
        </w:tc>
        <w:tc>
          <w:tcPr>
            <w:tcW w:w="1275" w:type="dxa"/>
            <w:vMerge w:val="restart"/>
            <w:noWrap/>
            <w:vAlign w:val="center"/>
            <w:hideMark/>
          </w:tcPr>
          <w:p w14:paraId="001C13D5" w14:textId="77777777" w:rsidR="00F340DC" w:rsidRPr="00F340DC" w:rsidRDefault="00F340DC" w:rsidP="00F340DC">
            <w:pPr>
              <w:spacing w:after="0" w:line="240" w:lineRule="auto"/>
              <w:ind w:firstLine="0"/>
              <w:jc w:val="center"/>
            </w:pPr>
            <w:r w:rsidRPr="00F340DC">
              <w:t>C_ID3</w:t>
            </w:r>
          </w:p>
        </w:tc>
        <w:tc>
          <w:tcPr>
            <w:tcW w:w="1843" w:type="dxa"/>
            <w:noWrap/>
            <w:vAlign w:val="center"/>
            <w:hideMark/>
          </w:tcPr>
          <w:p w14:paraId="5031924B" w14:textId="77777777" w:rsidR="00F340DC" w:rsidRPr="00F340DC" w:rsidRDefault="00F340DC" w:rsidP="00F340DC">
            <w:pPr>
              <w:spacing w:after="0" w:line="240" w:lineRule="auto"/>
              <w:ind w:firstLine="0"/>
              <w:jc w:val="center"/>
            </w:pPr>
          </w:p>
        </w:tc>
        <w:tc>
          <w:tcPr>
            <w:tcW w:w="1559" w:type="dxa"/>
            <w:noWrap/>
            <w:vAlign w:val="center"/>
            <w:hideMark/>
          </w:tcPr>
          <w:p w14:paraId="18C61EC4" w14:textId="77777777" w:rsidR="00F340DC" w:rsidRPr="00F340DC" w:rsidRDefault="00F340DC" w:rsidP="00F340DC">
            <w:pPr>
              <w:spacing w:after="0" w:line="240" w:lineRule="auto"/>
              <w:ind w:firstLine="0"/>
              <w:jc w:val="center"/>
            </w:pPr>
            <w:r w:rsidRPr="00F340DC">
              <w:t>InsDel_Aα</w:t>
            </w:r>
          </w:p>
        </w:tc>
        <w:tc>
          <w:tcPr>
            <w:tcW w:w="1276" w:type="dxa"/>
            <w:vMerge w:val="restart"/>
            <w:noWrap/>
            <w:vAlign w:val="center"/>
            <w:hideMark/>
          </w:tcPr>
          <w:p w14:paraId="03970D10" w14:textId="77777777" w:rsidR="00F340DC" w:rsidRPr="00F340DC" w:rsidRDefault="00F340DC" w:rsidP="00F340DC">
            <w:pPr>
              <w:spacing w:after="0" w:line="240" w:lineRule="auto"/>
              <w:ind w:firstLine="0"/>
              <w:jc w:val="center"/>
            </w:pPr>
            <w:r w:rsidRPr="00F340DC">
              <w:t>ID_A</w:t>
            </w:r>
          </w:p>
        </w:tc>
        <w:tc>
          <w:tcPr>
            <w:tcW w:w="1843" w:type="dxa"/>
            <w:noWrap/>
            <w:vAlign w:val="center"/>
            <w:hideMark/>
          </w:tcPr>
          <w:p w14:paraId="54DCD9B5" w14:textId="77777777" w:rsidR="00F340DC" w:rsidRPr="00F340DC" w:rsidRDefault="00F340DC" w:rsidP="00F340DC">
            <w:pPr>
              <w:spacing w:after="0" w:line="240" w:lineRule="auto"/>
              <w:ind w:firstLine="0"/>
              <w:jc w:val="center"/>
            </w:pPr>
          </w:p>
        </w:tc>
      </w:tr>
      <w:tr w:rsidR="00F340DC" w:rsidRPr="00F340DC" w14:paraId="22A12A52" w14:textId="77777777" w:rsidTr="00F340DC">
        <w:trPr>
          <w:trHeight w:val="285"/>
        </w:trPr>
        <w:tc>
          <w:tcPr>
            <w:tcW w:w="1555" w:type="dxa"/>
            <w:noWrap/>
            <w:vAlign w:val="center"/>
            <w:hideMark/>
          </w:tcPr>
          <w:p w14:paraId="7AE73E26" w14:textId="77777777" w:rsidR="00F340DC" w:rsidRPr="00F340DC" w:rsidRDefault="00F340DC" w:rsidP="00F340DC">
            <w:pPr>
              <w:spacing w:after="0" w:line="240" w:lineRule="auto"/>
              <w:ind w:firstLine="0"/>
              <w:jc w:val="center"/>
            </w:pPr>
            <w:r w:rsidRPr="00F340DC">
              <w:t>InsDel3b</w:t>
            </w:r>
          </w:p>
        </w:tc>
        <w:tc>
          <w:tcPr>
            <w:tcW w:w="1275" w:type="dxa"/>
            <w:vMerge/>
            <w:vAlign w:val="center"/>
            <w:hideMark/>
          </w:tcPr>
          <w:p w14:paraId="14482B1F" w14:textId="77777777" w:rsidR="00F340DC" w:rsidRPr="00F340DC" w:rsidRDefault="00F340DC" w:rsidP="00F340DC">
            <w:pPr>
              <w:spacing w:after="0" w:line="240" w:lineRule="auto"/>
              <w:ind w:firstLine="0"/>
              <w:jc w:val="center"/>
            </w:pPr>
          </w:p>
        </w:tc>
        <w:tc>
          <w:tcPr>
            <w:tcW w:w="1843" w:type="dxa"/>
            <w:noWrap/>
            <w:vAlign w:val="center"/>
            <w:hideMark/>
          </w:tcPr>
          <w:p w14:paraId="2FAB0CB8" w14:textId="77777777" w:rsidR="00F340DC" w:rsidRPr="00F340DC" w:rsidRDefault="00F340DC" w:rsidP="00F340DC">
            <w:pPr>
              <w:spacing w:after="0" w:line="240" w:lineRule="auto"/>
              <w:ind w:firstLine="0"/>
              <w:jc w:val="center"/>
            </w:pPr>
            <w:r w:rsidRPr="00F340DC">
              <w:t>Tobacco smoking</w:t>
            </w:r>
          </w:p>
        </w:tc>
        <w:tc>
          <w:tcPr>
            <w:tcW w:w="1559" w:type="dxa"/>
            <w:noWrap/>
            <w:vAlign w:val="center"/>
            <w:hideMark/>
          </w:tcPr>
          <w:p w14:paraId="5013BB1F" w14:textId="77777777" w:rsidR="00F340DC" w:rsidRPr="00F340DC" w:rsidRDefault="00F340DC" w:rsidP="00F340DC">
            <w:pPr>
              <w:spacing w:after="0" w:line="240" w:lineRule="auto"/>
              <w:ind w:firstLine="0"/>
              <w:jc w:val="center"/>
            </w:pPr>
            <w:r w:rsidRPr="00F340DC">
              <w:t>InsDel_Aβ</w:t>
            </w:r>
          </w:p>
        </w:tc>
        <w:tc>
          <w:tcPr>
            <w:tcW w:w="1276" w:type="dxa"/>
            <w:vMerge/>
            <w:vAlign w:val="center"/>
            <w:hideMark/>
          </w:tcPr>
          <w:p w14:paraId="1FFE6AA8" w14:textId="77777777" w:rsidR="00F340DC" w:rsidRPr="00F340DC" w:rsidRDefault="00F340DC" w:rsidP="00F340DC">
            <w:pPr>
              <w:spacing w:after="0" w:line="240" w:lineRule="auto"/>
              <w:ind w:firstLine="0"/>
              <w:jc w:val="center"/>
            </w:pPr>
          </w:p>
        </w:tc>
        <w:tc>
          <w:tcPr>
            <w:tcW w:w="1843" w:type="dxa"/>
            <w:noWrap/>
            <w:vAlign w:val="center"/>
            <w:hideMark/>
          </w:tcPr>
          <w:p w14:paraId="7E4E7310" w14:textId="2686993D" w:rsidR="00F340DC" w:rsidRPr="00F340DC" w:rsidRDefault="00F340DC" w:rsidP="00F340DC">
            <w:pPr>
              <w:spacing w:after="0" w:line="240" w:lineRule="auto"/>
              <w:ind w:firstLine="0"/>
              <w:jc w:val="center"/>
            </w:pPr>
            <w:r w:rsidRPr="00F340DC">
              <w:t>APOBEC cytidine deaminases</w:t>
            </w:r>
          </w:p>
        </w:tc>
      </w:tr>
      <w:tr w:rsidR="00F340DC" w:rsidRPr="00F340DC" w14:paraId="00ED89A9" w14:textId="77777777" w:rsidTr="00F340DC">
        <w:trPr>
          <w:trHeight w:val="285"/>
        </w:trPr>
        <w:tc>
          <w:tcPr>
            <w:tcW w:w="1555" w:type="dxa"/>
            <w:noWrap/>
            <w:vAlign w:val="center"/>
            <w:hideMark/>
          </w:tcPr>
          <w:p w14:paraId="1BE148DC" w14:textId="77777777" w:rsidR="00F340DC" w:rsidRPr="00F340DC" w:rsidRDefault="00F340DC" w:rsidP="00F340DC">
            <w:pPr>
              <w:spacing w:after="0" w:line="240" w:lineRule="auto"/>
              <w:ind w:firstLine="0"/>
              <w:jc w:val="center"/>
            </w:pPr>
            <w:r w:rsidRPr="00F340DC">
              <w:t>InsDel4</w:t>
            </w:r>
          </w:p>
        </w:tc>
        <w:tc>
          <w:tcPr>
            <w:tcW w:w="1275" w:type="dxa"/>
            <w:noWrap/>
            <w:vAlign w:val="center"/>
            <w:hideMark/>
          </w:tcPr>
          <w:p w14:paraId="2CB4D4D3" w14:textId="77777777" w:rsidR="00F340DC" w:rsidRPr="00F340DC" w:rsidRDefault="00F340DC" w:rsidP="00F340DC">
            <w:pPr>
              <w:spacing w:after="0" w:line="240" w:lineRule="auto"/>
              <w:ind w:firstLine="0"/>
              <w:jc w:val="center"/>
            </w:pPr>
            <w:r w:rsidRPr="00F340DC">
              <w:t>C_ID4</w:t>
            </w:r>
          </w:p>
        </w:tc>
        <w:tc>
          <w:tcPr>
            <w:tcW w:w="1843" w:type="dxa"/>
            <w:noWrap/>
            <w:vAlign w:val="center"/>
            <w:hideMark/>
          </w:tcPr>
          <w:p w14:paraId="30555F45" w14:textId="77777777" w:rsidR="00F340DC" w:rsidRPr="00F340DC" w:rsidRDefault="00F340DC" w:rsidP="00F340DC">
            <w:pPr>
              <w:spacing w:after="0" w:line="240" w:lineRule="auto"/>
              <w:ind w:firstLine="0"/>
              <w:jc w:val="center"/>
            </w:pPr>
          </w:p>
        </w:tc>
        <w:tc>
          <w:tcPr>
            <w:tcW w:w="1559" w:type="dxa"/>
            <w:noWrap/>
            <w:vAlign w:val="center"/>
            <w:hideMark/>
          </w:tcPr>
          <w:p w14:paraId="5634B1E2" w14:textId="77777777" w:rsidR="00F340DC" w:rsidRPr="00F340DC" w:rsidRDefault="00F340DC" w:rsidP="00F340DC">
            <w:pPr>
              <w:spacing w:after="0" w:line="240" w:lineRule="auto"/>
              <w:ind w:firstLine="0"/>
              <w:jc w:val="center"/>
            </w:pPr>
            <w:r w:rsidRPr="00F340DC">
              <w:t>InsDel_B</w:t>
            </w:r>
          </w:p>
        </w:tc>
        <w:tc>
          <w:tcPr>
            <w:tcW w:w="1276" w:type="dxa"/>
            <w:noWrap/>
            <w:vAlign w:val="center"/>
            <w:hideMark/>
          </w:tcPr>
          <w:p w14:paraId="3E990072" w14:textId="77777777" w:rsidR="00F340DC" w:rsidRPr="00F340DC" w:rsidRDefault="00F340DC" w:rsidP="00F340DC">
            <w:pPr>
              <w:spacing w:after="0" w:line="240" w:lineRule="auto"/>
              <w:ind w:firstLine="0"/>
              <w:jc w:val="center"/>
            </w:pPr>
            <w:r w:rsidRPr="00F340DC">
              <w:t>ID_B</w:t>
            </w:r>
          </w:p>
        </w:tc>
        <w:tc>
          <w:tcPr>
            <w:tcW w:w="1843" w:type="dxa"/>
            <w:noWrap/>
            <w:vAlign w:val="center"/>
            <w:hideMark/>
          </w:tcPr>
          <w:p w14:paraId="0EB2EAFC" w14:textId="77777777" w:rsidR="00F340DC" w:rsidRPr="00F340DC" w:rsidRDefault="00F340DC" w:rsidP="00F340DC">
            <w:pPr>
              <w:spacing w:after="0" w:line="240" w:lineRule="auto"/>
              <w:ind w:firstLine="0"/>
              <w:jc w:val="center"/>
            </w:pPr>
          </w:p>
        </w:tc>
      </w:tr>
      <w:tr w:rsidR="00F340DC" w:rsidRPr="00F340DC" w14:paraId="01733513" w14:textId="77777777" w:rsidTr="00F340DC">
        <w:trPr>
          <w:trHeight w:val="285"/>
        </w:trPr>
        <w:tc>
          <w:tcPr>
            <w:tcW w:w="1555" w:type="dxa"/>
            <w:noWrap/>
            <w:vAlign w:val="center"/>
            <w:hideMark/>
          </w:tcPr>
          <w:p w14:paraId="33C6D024" w14:textId="77777777" w:rsidR="00F340DC" w:rsidRPr="00F340DC" w:rsidRDefault="00F340DC" w:rsidP="00F340DC">
            <w:pPr>
              <w:spacing w:after="0" w:line="240" w:lineRule="auto"/>
              <w:ind w:firstLine="0"/>
              <w:jc w:val="center"/>
            </w:pPr>
            <w:r w:rsidRPr="00F340DC">
              <w:t>InsDel5a</w:t>
            </w:r>
          </w:p>
        </w:tc>
        <w:tc>
          <w:tcPr>
            <w:tcW w:w="1275" w:type="dxa"/>
            <w:vMerge w:val="restart"/>
            <w:noWrap/>
            <w:vAlign w:val="center"/>
            <w:hideMark/>
          </w:tcPr>
          <w:p w14:paraId="6D2BD450" w14:textId="77777777" w:rsidR="00F340DC" w:rsidRPr="00F340DC" w:rsidRDefault="00F340DC" w:rsidP="00F340DC">
            <w:pPr>
              <w:spacing w:after="0" w:line="240" w:lineRule="auto"/>
              <w:ind w:firstLine="0"/>
              <w:jc w:val="center"/>
            </w:pPr>
            <w:r w:rsidRPr="00F340DC">
              <w:t>C_ID5</w:t>
            </w:r>
          </w:p>
        </w:tc>
        <w:tc>
          <w:tcPr>
            <w:tcW w:w="1843" w:type="dxa"/>
            <w:noWrap/>
            <w:vAlign w:val="center"/>
            <w:hideMark/>
          </w:tcPr>
          <w:p w14:paraId="457CE13C" w14:textId="77777777" w:rsidR="00F340DC" w:rsidRPr="00F340DC" w:rsidRDefault="00F340DC" w:rsidP="00F340DC">
            <w:pPr>
              <w:spacing w:after="0" w:line="240" w:lineRule="auto"/>
              <w:ind w:firstLine="0"/>
              <w:jc w:val="center"/>
            </w:pPr>
            <w:r w:rsidRPr="00F340DC">
              <w:t>Clock-like</w:t>
            </w:r>
          </w:p>
        </w:tc>
        <w:tc>
          <w:tcPr>
            <w:tcW w:w="1559" w:type="dxa"/>
            <w:noWrap/>
            <w:vAlign w:val="center"/>
            <w:hideMark/>
          </w:tcPr>
          <w:p w14:paraId="62D986B3" w14:textId="77777777" w:rsidR="00F340DC" w:rsidRPr="00F340DC" w:rsidRDefault="00F340DC" w:rsidP="00F340DC">
            <w:pPr>
              <w:spacing w:after="0" w:line="240" w:lineRule="auto"/>
              <w:ind w:firstLine="0"/>
              <w:jc w:val="center"/>
            </w:pPr>
            <w:r w:rsidRPr="00F340DC">
              <w:t>InsDel_C</w:t>
            </w:r>
          </w:p>
        </w:tc>
        <w:tc>
          <w:tcPr>
            <w:tcW w:w="1276" w:type="dxa"/>
            <w:noWrap/>
            <w:vAlign w:val="center"/>
            <w:hideMark/>
          </w:tcPr>
          <w:p w14:paraId="4E115AF1" w14:textId="77777777" w:rsidR="00F340DC" w:rsidRPr="00F340DC" w:rsidRDefault="00F340DC" w:rsidP="00F340DC">
            <w:pPr>
              <w:spacing w:after="0" w:line="240" w:lineRule="auto"/>
              <w:ind w:firstLine="0"/>
              <w:jc w:val="center"/>
            </w:pPr>
            <w:r w:rsidRPr="00F340DC">
              <w:t>ID_C</w:t>
            </w:r>
          </w:p>
        </w:tc>
        <w:tc>
          <w:tcPr>
            <w:tcW w:w="1843" w:type="dxa"/>
            <w:noWrap/>
            <w:vAlign w:val="center"/>
            <w:hideMark/>
          </w:tcPr>
          <w:p w14:paraId="0ADAA832" w14:textId="77777777" w:rsidR="00F340DC" w:rsidRPr="00F340DC" w:rsidRDefault="00F340DC" w:rsidP="00F340DC">
            <w:pPr>
              <w:spacing w:after="0" w:line="240" w:lineRule="auto"/>
              <w:ind w:firstLine="0"/>
              <w:jc w:val="center"/>
            </w:pPr>
          </w:p>
        </w:tc>
      </w:tr>
      <w:tr w:rsidR="00F340DC" w:rsidRPr="00F340DC" w14:paraId="3097C6C0" w14:textId="77777777" w:rsidTr="00F340DC">
        <w:trPr>
          <w:trHeight w:val="285"/>
        </w:trPr>
        <w:tc>
          <w:tcPr>
            <w:tcW w:w="1555" w:type="dxa"/>
            <w:noWrap/>
            <w:vAlign w:val="center"/>
            <w:hideMark/>
          </w:tcPr>
          <w:p w14:paraId="3BC7C224" w14:textId="77777777" w:rsidR="00F340DC" w:rsidRPr="00F340DC" w:rsidRDefault="00F340DC" w:rsidP="00F340DC">
            <w:pPr>
              <w:spacing w:after="0" w:line="240" w:lineRule="auto"/>
              <w:ind w:firstLine="0"/>
              <w:jc w:val="center"/>
            </w:pPr>
            <w:r w:rsidRPr="00F340DC">
              <w:t>InsDel5b</w:t>
            </w:r>
          </w:p>
        </w:tc>
        <w:tc>
          <w:tcPr>
            <w:tcW w:w="1275" w:type="dxa"/>
            <w:vMerge/>
            <w:vAlign w:val="center"/>
            <w:hideMark/>
          </w:tcPr>
          <w:p w14:paraId="796FA74F" w14:textId="77777777" w:rsidR="00F340DC" w:rsidRPr="00F340DC" w:rsidRDefault="00F340DC" w:rsidP="00F340DC">
            <w:pPr>
              <w:spacing w:after="0" w:line="240" w:lineRule="auto"/>
              <w:ind w:firstLine="0"/>
              <w:jc w:val="center"/>
            </w:pPr>
          </w:p>
        </w:tc>
        <w:tc>
          <w:tcPr>
            <w:tcW w:w="1843" w:type="dxa"/>
            <w:noWrap/>
            <w:vAlign w:val="center"/>
            <w:hideMark/>
          </w:tcPr>
          <w:p w14:paraId="4B726AE6" w14:textId="77777777" w:rsidR="00F340DC" w:rsidRPr="00F340DC" w:rsidRDefault="00F340DC" w:rsidP="00F340DC">
            <w:pPr>
              <w:spacing w:after="0" w:line="240" w:lineRule="auto"/>
              <w:ind w:firstLine="0"/>
              <w:jc w:val="center"/>
            </w:pPr>
          </w:p>
        </w:tc>
        <w:tc>
          <w:tcPr>
            <w:tcW w:w="1559" w:type="dxa"/>
            <w:noWrap/>
            <w:vAlign w:val="center"/>
            <w:hideMark/>
          </w:tcPr>
          <w:p w14:paraId="7F7BD44A" w14:textId="77777777" w:rsidR="00F340DC" w:rsidRPr="00F340DC" w:rsidRDefault="00F340DC" w:rsidP="00F340DC">
            <w:pPr>
              <w:spacing w:after="0" w:line="240" w:lineRule="auto"/>
              <w:ind w:firstLine="0"/>
              <w:jc w:val="center"/>
            </w:pPr>
            <w:r w:rsidRPr="00F340DC">
              <w:t>InsDel_D</w:t>
            </w:r>
          </w:p>
        </w:tc>
        <w:tc>
          <w:tcPr>
            <w:tcW w:w="1276" w:type="dxa"/>
            <w:noWrap/>
            <w:vAlign w:val="center"/>
            <w:hideMark/>
          </w:tcPr>
          <w:p w14:paraId="4C8C19D0" w14:textId="77777777" w:rsidR="00F340DC" w:rsidRPr="00F340DC" w:rsidRDefault="00F340DC" w:rsidP="00F340DC">
            <w:pPr>
              <w:spacing w:after="0" w:line="240" w:lineRule="auto"/>
              <w:ind w:firstLine="0"/>
              <w:jc w:val="center"/>
            </w:pPr>
            <w:r w:rsidRPr="00F340DC">
              <w:t>ID_D</w:t>
            </w:r>
          </w:p>
        </w:tc>
        <w:tc>
          <w:tcPr>
            <w:tcW w:w="1843" w:type="dxa"/>
            <w:noWrap/>
            <w:vAlign w:val="center"/>
            <w:hideMark/>
          </w:tcPr>
          <w:p w14:paraId="35C70F03" w14:textId="77777777" w:rsidR="00F340DC" w:rsidRPr="00F340DC" w:rsidRDefault="00F340DC" w:rsidP="00F340DC">
            <w:pPr>
              <w:spacing w:after="0" w:line="240" w:lineRule="auto"/>
              <w:ind w:firstLine="0"/>
              <w:jc w:val="center"/>
            </w:pPr>
            <w:r w:rsidRPr="00F340DC">
              <w:t>dMMR</w:t>
            </w:r>
          </w:p>
        </w:tc>
      </w:tr>
      <w:tr w:rsidR="00F340DC" w:rsidRPr="00F340DC" w14:paraId="6E32B5CD" w14:textId="77777777" w:rsidTr="00F340DC">
        <w:trPr>
          <w:trHeight w:val="285"/>
        </w:trPr>
        <w:tc>
          <w:tcPr>
            <w:tcW w:w="1555" w:type="dxa"/>
            <w:noWrap/>
            <w:vAlign w:val="center"/>
            <w:hideMark/>
          </w:tcPr>
          <w:p w14:paraId="49B0735D" w14:textId="77777777" w:rsidR="00F340DC" w:rsidRPr="00F340DC" w:rsidRDefault="00F340DC" w:rsidP="00F340DC">
            <w:pPr>
              <w:spacing w:after="0" w:line="240" w:lineRule="auto"/>
              <w:ind w:firstLine="0"/>
              <w:jc w:val="center"/>
            </w:pPr>
            <w:r w:rsidRPr="00F340DC">
              <w:t>InsDel5c</w:t>
            </w:r>
          </w:p>
        </w:tc>
        <w:tc>
          <w:tcPr>
            <w:tcW w:w="1275" w:type="dxa"/>
            <w:vMerge/>
            <w:vAlign w:val="center"/>
            <w:hideMark/>
          </w:tcPr>
          <w:p w14:paraId="114698CB" w14:textId="77777777" w:rsidR="00F340DC" w:rsidRPr="00F340DC" w:rsidRDefault="00F340DC" w:rsidP="00F340DC">
            <w:pPr>
              <w:spacing w:after="0" w:line="240" w:lineRule="auto"/>
              <w:ind w:firstLine="0"/>
              <w:jc w:val="center"/>
            </w:pPr>
          </w:p>
        </w:tc>
        <w:tc>
          <w:tcPr>
            <w:tcW w:w="1843" w:type="dxa"/>
            <w:noWrap/>
            <w:vAlign w:val="center"/>
            <w:hideMark/>
          </w:tcPr>
          <w:p w14:paraId="5C606DB3" w14:textId="77777777" w:rsidR="00F340DC" w:rsidRPr="00F340DC" w:rsidRDefault="00F340DC" w:rsidP="00F340DC">
            <w:pPr>
              <w:spacing w:after="0" w:line="240" w:lineRule="auto"/>
              <w:ind w:firstLine="0"/>
              <w:jc w:val="center"/>
            </w:pPr>
          </w:p>
        </w:tc>
        <w:tc>
          <w:tcPr>
            <w:tcW w:w="1559" w:type="dxa"/>
            <w:noWrap/>
            <w:vAlign w:val="center"/>
            <w:hideMark/>
          </w:tcPr>
          <w:p w14:paraId="7A5D5094" w14:textId="77777777" w:rsidR="00F340DC" w:rsidRPr="00F340DC" w:rsidRDefault="00F340DC" w:rsidP="00F340DC">
            <w:pPr>
              <w:spacing w:after="0" w:line="240" w:lineRule="auto"/>
              <w:ind w:firstLine="0"/>
              <w:jc w:val="center"/>
            </w:pPr>
            <w:r w:rsidRPr="00F340DC">
              <w:t>InsDel_E</w:t>
            </w:r>
          </w:p>
        </w:tc>
        <w:tc>
          <w:tcPr>
            <w:tcW w:w="1276" w:type="dxa"/>
            <w:noWrap/>
            <w:vAlign w:val="center"/>
            <w:hideMark/>
          </w:tcPr>
          <w:p w14:paraId="68E934D3" w14:textId="77777777" w:rsidR="00F340DC" w:rsidRPr="00F340DC" w:rsidRDefault="00F340DC" w:rsidP="00F340DC">
            <w:pPr>
              <w:spacing w:after="0" w:line="240" w:lineRule="auto"/>
              <w:ind w:firstLine="0"/>
              <w:jc w:val="center"/>
            </w:pPr>
            <w:r w:rsidRPr="00F340DC">
              <w:t>ID_E</w:t>
            </w:r>
          </w:p>
        </w:tc>
        <w:tc>
          <w:tcPr>
            <w:tcW w:w="1843" w:type="dxa"/>
            <w:noWrap/>
            <w:vAlign w:val="center"/>
            <w:hideMark/>
          </w:tcPr>
          <w:p w14:paraId="559C749E" w14:textId="77777777" w:rsidR="00F340DC" w:rsidRPr="00F340DC" w:rsidRDefault="00F340DC" w:rsidP="00F340DC">
            <w:pPr>
              <w:spacing w:after="0" w:line="240" w:lineRule="auto"/>
              <w:ind w:firstLine="0"/>
              <w:jc w:val="center"/>
            </w:pPr>
          </w:p>
        </w:tc>
      </w:tr>
      <w:tr w:rsidR="00F340DC" w:rsidRPr="00F340DC" w14:paraId="11112DE2" w14:textId="77777777" w:rsidTr="00F340DC">
        <w:trPr>
          <w:trHeight w:val="285"/>
        </w:trPr>
        <w:tc>
          <w:tcPr>
            <w:tcW w:w="1555" w:type="dxa"/>
            <w:noWrap/>
            <w:vAlign w:val="center"/>
            <w:hideMark/>
          </w:tcPr>
          <w:p w14:paraId="2A756299" w14:textId="77777777" w:rsidR="00F340DC" w:rsidRPr="00F340DC" w:rsidRDefault="00F340DC" w:rsidP="00F340DC">
            <w:pPr>
              <w:spacing w:after="0" w:line="240" w:lineRule="auto"/>
              <w:ind w:firstLine="0"/>
              <w:jc w:val="center"/>
            </w:pPr>
            <w:r w:rsidRPr="00F340DC">
              <w:t>InsDel6</w:t>
            </w:r>
          </w:p>
        </w:tc>
        <w:tc>
          <w:tcPr>
            <w:tcW w:w="1275" w:type="dxa"/>
            <w:noWrap/>
            <w:vAlign w:val="center"/>
            <w:hideMark/>
          </w:tcPr>
          <w:p w14:paraId="74545B6D" w14:textId="77777777" w:rsidR="00F340DC" w:rsidRPr="00F340DC" w:rsidRDefault="00F340DC" w:rsidP="00F340DC">
            <w:pPr>
              <w:spacing w:after="0" w:line="240" w:lineRule="auto"/>
              <w:ind w:firstLine="0"/>
              <w:jc w:val="center"/>
            </w:pPr>
            <w:r w:rsidRPr="00F340DC">
              <w:t>C_ID6</w:t>
            </w:r>
          </w:p>
        </w:tc>
        <w:tc>
          <w:tcPr>
            <w:tcW w:w="1843" w:type="dxa"/>
            <w:noWrap/>
            <w:vAlign w:val="center"/>
            <w:hideMark/>
          </w:tcPr>
          <w:p w14:paraId="63444840" w14:textId="77777777" w:rsidR="00F340DC" w:rsidRPr="00F340DC" w:rsidRDefault="00F340DC" w:rsidP="00F340DC">
            <w:pPr>
              <w:spacing w:after="0" w:line="240" w:lineRule="auto"/>
              <w:ind w:firstLine="0"/>
              <w:jc w:val="center"/>
            </w:pPr>
            <w:r w:rsidRPr="00F340DC">
              <w:t>Defective HR</w:t>
            </w:r>
          </w:p>
        </w:tc>
        <w:tc>
          <w:tcPr>
            <w:tcW w:w="1559" w:type="dxa"/>
            <w:noWrap/>
            <w:vAlign w:val="center"/>
            <w:hideMark/>
          </w:tcPr>
          <w:p w14:paraId="4D94AF91" w14:textId="77777777" w:rsidR="00F340DC" w:rsidRPr="00F340DC" w:rsidRDefault="00F340DC" w:rsidP="00F340DC">
            <w:pPr>
              <w:spacing w:after="0" w:line="240" w:lineRule="auto"/>
              <w:ind w:firstLine="0"/>
              <w:jc w:val="center"/>
            </w:pPr>
            <w:r w:rsidRPr="00F340DC">
              <w:t>InsDel_F</w:t>
            </w:r>
          </w:p>
        </w:tc>
        <w:tc>
          <w:tcPr>
            <w:tcW w:w="1276" w:type="dxa"/>
            <w:noWrap/>
            <w:vAlign w:val="center"/>
            <w:hideMark/>
          </w:tcPr>
          <w:p w14:paraId="5C20323A" w14:textId="77777777" w:rsidR="00F340DC" w:rsidRPr="00F340DC" w:rsidRDefault="00F340DC" w:rsidP="00F340DC">
            <w:pPr>
              <w:spacing w:after="0" w:line="240" w:lineRule="auto"/>
              <w:ind w:firstLine="0"/>
              <w:jc w:val="center"/>
            </w:pPr>
            <w:r w:rsidRPr="00F340DC">
              <w:t>ID_F</w:t>
            </w:r>
          </w:p>
        </w:tc>
        <w:tc>
          <w:tcPr>
            <w:tcW w:w="1843" w:type="dxa"/>
            <w:noWrap/>
            <w:vAlign w:val="center"/>
            <w:hideMark/>
          </w:tcPr>
          <w:p w14:paraId="5A33D221" w14:textId="77777777" w:rsidR="00F340DC" w:rsidRPr="00F340DC" w:rsidRDefault="00F340DC" w:rsidP="00F340DC">
            <w:pPr>
              <w:spacing w:after="0" w:line="240" w:lineRule="auto"/>
              <w:ind w:firstLine="0"/>
              <w:jc w:val="center"/>
            </w:pPr>
            <w:r w:rsidRPr="00F340DC">
              <w:t>TOP1-TAM</w:t>
            </w:r>
          </w:p>
        </w:tc>
      </w:tr>
      <w:tr w:rsidR="00F340DC" w:rsidRPr="00F340DC" w14:paraId="02BB381E" w14:textId="77777777" w:rsidTr="00F340DC">
        <w:trPr>
          <w:trHeight w:val="285"/>
        </w:trPr>
        <w:tc>
          <w:tcPr>
            <w:tcW w:w="1555" w:type="dxa"/>
            <w:noWrap/>
            <w:vAlign w:val="center"/>
            <w:hideMark/>
          </w:tcPr>
          <w:p w14:paraId="5B19EE2C" w14:textId="77777777" w:rsidR="00F340DC" w:rsidRPr="00F340DC" w:rsidRDefault="00F340DC" w:rsidP="00F340DC">
            <w:pPr>
              <w:spacing w:after="0" w:line="240" w:lineRule="auto"/>
              <w:ind w:firstLine="0"/>
              <w:jc w:val="center"/>
            </w:pPr>
            <w:r w:rsidRPr="00F340DC">
              <w:t>InsDel7</w:t>
            </w:r>
          </w:p>
        </w:tc>
        <w:tc>
          <w:tcPr>
            <w:tcW w:w="1275" w:type="dxa"/>
            <w:noWrap/>
            <w:vAlign w:val="center"/>
            <w:hideMark/>
          </w:tcPr>
          <w:p w14:paraId="0CD2FB3C" w14:textId="77777777" w:rsidR="00F340DC" w:rsidRPr="00F340DC" w:rsidRDefault="00F340DC" w:rsidP="00F340DC">
            <w:pPr>
              <w:spacing w:after="0" w:line="240" w:lineRule="auto"/>
              <w:ind w:firstLine="0"/>
              <w:jc w:val="center"/>
            </w:pPr>
            <w:r w:rsidRPr="00F340DC">
              <w:t>C_ID7**</w:t>
            </w:r>
          </w:p>
        </w:tc>
        <w:tc>
          <w:tcPr>
            <w:tcW w:w="1843" w:type="dxa"/>
            <w:noWrap/>
            <w:vAlign w:val="center"/>
            <w:hideMark/>
          </w:tcPr>
          <w:p w14:paraId="14FCD9D5" w14:textId="77777777" w:rsidR="00F340DC" w:rsidRPr="00F340DC" w:rsidRDefault="00F340DC" w:rsidP="00F340DC">
            <w:pPr>
              <w:spacing w:after="0" w:line="240" w:lineRule="auto"/>
              <w:ind w:firstLine="0"/>
              <w:jc w:val="center"/>
            </w:pPr>
            <w:r w:rsidRPr="00F340DC">
              <w:t>dMMR</w:t>
            </w:r>
          </w:p>
        </w:tc>
        <w:tc>
          <w:tcPr>
            <w:tcW w:w="1559" w:type="dxa"/>
            <w:noWrap/>
            <w:vAlign w:val="center"/>
            <w:hideMark/>
          </w:tcPr>
          <w:p w14:paraId="433D7A39" w14:textId="77777777" w:rsidR="00F340DC" w:rsidRPr="00F340DC" w:rsidRDefault="00F340DC" w:rsidP="00F340DC">
            <w:pPr>
              <w:spacing w:after="0" w:line="240" w:lineRule="auto"/>
              <w:ind w:firstLine="0"/>
              <w:jc w:val="center"/>
            </w:pPr>
            <w:r w:rsidRPr="00F340DC">
              <w:t>InsDel_G</w:t>
            </w:r>
          </w:p>
        </w:tc>
        <w:tc>
          <w:tcPr>
            <w:tcW w:w="1276" w:type="dxa"/>
            <w:noWrap/>
            <w:vAlign w:val="center"/>
            <w:hideMark/>
          </w:tcPr>
          <w:p w14:paraId="2886BF3D" w14:textId="77777777" w:rsidR="00F340DC" w:rsidRPr="00F340DC" w:rsidRDefault="00F340DC" w:rsidP="00F340DC">
            <w:pPr>
              <w:spacing w:after="0" w:line="240" w:lineRule="auto"/>
              <w:ind w:firstLine="0"/>
              <w:jc w:val="center"/>
            </w:pPr>
            <w:r w:rsidRPr="00F340DC">
              <w:t>ID_G</w:t>
            </w:r>
          </w:p>
        </w:tc>
        <w:tc>
          <w:tcPr>
            <w:tcW w:w="1843" w:type="dxa"/>
            <w:noWrap/>
            <w:vAlign w:val="center"/>
            <w:hideMark/>
          </w:tcPr>
          <w:p w14:paraId="54635B87" w14:textId="77777777" w:rsidR="00F340DC" w:rsidRPr="00F340DC" w:rsidRDefault="00F340DC" w:rsidP="00F340DC">
            <w:pPr>
              <w:spacing w:after="0" w:line="240" w:lineRule="auto"/>
              <w:ind w:firstLine="0"/>
              <w:jc w:val="center"/>
            </w:pPr>
          </w:p>
        </w:tc>
      </w:tr>
      <w:tr w:rsidR="00F340DC" w:rsidRPr="00F340DC" w14:paraId="13C78478" w14:textId="77777777" w:rsidTr="00F340DC">
        <w:trPr>
          <w:trHeight w:val="285"/>
        </w:trPr>
        <w:tc>
          <w:tcPr>
            <w:tcW w:w="1555" w:type="dxa"/>
            <w:noWrap/>
            <w:vAlign w:val="center"/>
            <w:hideMark/>
          </w:tcPr>
          <w:p w14:paraId="636483DB" w14:textId="77777777" w:rsidR="00F340DC" w:rsidRPr="00F340DC" w:rsidRDefault="00F340DC" w:rsidP="00F340DC">
            <w:pPr>
              <w:spacing w:after="0" w:line="240" w:lineRule="auto"/>
              <w:ind w:firstLine="0"/>
              <w:jc w:val="center"/>
            </w:pPr>
            <w:r w:rsidRPr="00F340DC">
              <w:t>InsDel8</w:t>
            </w:r>
          </w:p>
        </w:tc>
        <w:tc>
          <w:tcPr>
            <w:tcW w:w="1275" w:type="dxa"/>
            <w:noWrap/>
            <w:vAlign w:val="center"/>
            <w:hideMark/>
          </w:tcPr>
          <w:p w14:paraId="222341CD" w14:textId="77777777" w:rsidR="00F340DC" w:rsidRPr="00F340DC" w:rsidRDefault="00F340DC" w:rsidP="00F340DC">
            <w:pPr>
              <w:spacing w:after="0" w:line="240" w:lineRule="auto"/>
              <w:ind w:firstLine="0"/>
              <w:jc w:val="center"/>
            </w:pPr>
            <w:r w:rsidRPr="00F340DC">
              <w:t>C_ID8</w:t>
            </w:r>
          </w:p>
        </w:tc>
        <w:tc>
          <w:tcPr>
            <w:tcW w:w="1843" w:type="dxa"/>
            <w:noWrap/>
            <w:vAlign w:val="center"/>
            <w:hideMark/>
          </w:tcPr>
          <w:p w14:paraId="3DA02CC4" w14:textId="77777777" w:rsidR="00F340DC" w:rsidRPr="00F340DC" w:rsidRDefault="00F340DC" w:rsidP="00F340DC">
            <w:pPr>
              <w:spacing w:after="0" w:line="240" w:lineRule="auto"/>
              <w:ind w:firstLine="0"/>
              <w:jc w:val="center"/>
            </w:pPr>
            <w:r w:rsidRPr="00F340DC">
              <w:t>DNA DSB repair by NHEJ</w:t>
            </w:r>
          </w:p>
        </w:tc>
        <w:tc>
          <w:tcPr>
            <w:tcW w:w="1559" w:type="dxa"/>
            <w:noWrap/>
            <w:vAlign w:val="center"/>
            <w:hideMark/>
          </w:tcPr>
          <w:p w14:paraId="44E22622" w14:textId="77777777" w:rsidR="00F340DC" w:rsidRPr="00F340DC" w:rsidRDefault="00F340DC" w:rsidP="00F340DC">
            <w:pPr>
              <w:spacing w:after="0" w:line="240" w:lineRule="auto"/>
              <w:ind w:firstLine="0"/>
              <w:jc w:val="center"/>
            </w:pPr>
            <w:r w:rsidRPr="00F340DC">
              <w:t>InsDel_H</w:t>
            </w:r>
          </w:p>
        </w:tc>
        <w:tc>
          <w:tcPr>
            <w:tcW w:w="1276" w:type="dxa"/>
            <w:noWrap/>
            <w:vAlign w:val="center"/>
            <w:hideMark/>
          </w:tcPr>
          <w:p w14:paraId="32DDB268" w14:textId="77777777" w:rsidR="00F340DC" w:rsidRPr="00F340DC" w:rsidRDefault="00F340DC" w:rsidP="00F340DC">
            <w:pPr>
              <w:spacing w:after="0" w:line="240" w:lineRule="auto"/>
              <w:ind w:firstLine="0"/>
              <w:jc w:val="center"/>
            </w:pPr>
            <w:r w:rsidRPr="00F340DC">
              <w:t>ID_H</w:t>
            </w:r>
          </w:p>
        </w:tc>
        <w:tc>
          <w:tcPr>
            <w:tcW w:w="1843" w:type="dxa"/>
            <w:noWrap/>
            <w:vAlign w:val="center"/>
            <w:hideMark/>
          </w:tcPr>
          <w:p w14:paraId="7E120144" w14:textId="77777777" w:rsidR="00F340DC" w:rsidRPr="00F340DC" w:rsidRDefault="00F340DC" w:rsidP="00F340DC">
            <w:pPr>
              <w:spacing w:after="0" w:line="240" w:lineRule="auto"/>
              <w:ind w:firstLine="0"/>
              <w:jc w:val="center"/>
            </w:pPr>
            <w:r w:rsidRPr="00F340DC">
              <w:t>Indirect effect of UV exposure?</w:t>
            </w:r>
          </w:p>
        </w:tc>
      </w:tr>
      <w:tr w:rsidR="00F340DC" w:rsidRPr="00F340DC" w14:paraId="33770D48" w14:textId="77777777" w:rsidTr="00F340DC">
        <w:trPr>
          <w:trHeight w:val="285"/>
        </w:trPr>
        <w:tc>
          <w:tcPr>
            <w:tcW w:w="1555" w:type="dxa"/>
            <w:noWrap/>
            <w:vAlign w:val="center"/>
            <w:hideMark/>
          </w:tcPr>
          <w:p w14:paraId="68319F52" w14:textId="77777777" w:rsidR="00F340DC" w:rsidRPr="00F340DC" w:rsidRDefault="00F340DC" w:rsidP="00F340DC">
            <w:pPr>
              <w:spacing w:after="0" w:line="240" w:lineRule="auto"/>
              <w:ind w:firstLine="0"/>
              <w:jc w:val="center"/>
            </w:pPr>
            <w:r w:rsidRPr="00F340DC">
              <w:t>InsDel9</w:t>
            </w:r>
          </w:p>
        </w:tc>
        <w:tc>
          <w:tcPr>
            <w:tcW w:w="1275" w:type="dxa"/>
            <w:noWrap/>
            <w:vAlign w:val="center"/>
            <w:hideMark/>
          </w:tcPr>
          <w:p w14:paraId="52BA01AD" w14:textId="77777777" w:rsidR="00F340DC" w:rsidRPr="00F340DC" w:rsidRDefault="00F340DC" w:rsidP="00F340DC">
            <w:pPr>
              <w:spacing w:after="0" w:line="240" w:lineRule="auto"/>
              <w:ind w:firstLine="0"/>
              <w:jc w:val="center"/>
            </w:pPr>
            <w:r w:rsidRPr="00F340DC">
              <w:t>C_ID9</w:t>
            </w:r>
          </w:p>
        </w:tc>
        <w:tc>
          <w:tcPr>
            <w:tcW w:w="1843" w:type="dxa"/>
            <w:noWrap/>
            <w:vAlign w:val="center"/>
            <w:hideMark/>
          </w:tcPr>
          <w:p w14:paraId="44DF3179" w14:textId="77777777" w:rsidR="00F340DC" w:rsidRPr="00F340DC" w:rsidRDefault="00F340DC" w:rsidP="00F340DC">
            <w:pPr>
              <w:spacing w:after="0" w:line="240" w:lineRule="auto"/>
              <w:ind w:firstLine="0"/>
              <w:jc w:val="center"/>
            </w:pPr>
          </w:p>
        </w:tc>
        <w:tc>
          <w:tcPr>
            <w:tcW w:w="1559" w:type="dxa"/>
            <w:noWrap/>
            <w:vAlign w:val="center"/>
            <w:hideMark/>
          </w:tcPr>
          <w:p w14:paraId="4179D0D0" w14:textId="77777777" w:rsidR="00F340DC" w:rsidRPr="00F340DC" w:rsidRDefault="00F340DC" w:rsidP="00F340DC">
            <w:pPr>
              <w:spacing w:after="0" w:line="240" w:lineRule="auto"/>
              <w:ind w:firstLine="0"/>
              <w:jc w:val="center"/>
            </w:pPr>
            <w:r w:rsidRPr="00F340DC">
              <w:t>InsDel_I</w:t>
            </w:r>
          </w:p>
        </w:tc>
        <w:tc>
          <w:tcPr>
            <w:tcW w:w="1276" w:type="dxa"/>
            <w:noWrap/>
            <w:vAlign w:val="center"/>
            <w:hideMark/>
          </w:tcPr>
          <w:p w14:paraId="794C9DF1" w14:textId="77777777" w:rsidR="00F340DC" w:rsidRPr="00F340DC" w:rsidRDefault="00F340DC" w:rsidP="00F340DC">
            <w:pPr>
              <w:spacing w:after="0" w:line="240" w:lineRule="auto"/>
              <w:ind w:firstLine="0"/>
              <w:jc w:val="center"/>
            </w:pPr>
            <w:r w:rsidRPr="00F340DC">
              <w:t>ID_I</w:t>
            </w:r>
          </w:p>
        </w:tc>
        <w:tc>
          <w:tcPr>
            <w:tcW w:w="1843" w:type="dxa"/>
            <w:noWrap/>
            <w:vAlign w:val="center"/>
            <w:hideMark/>
          </w:tcPr>
          <w:p w14:paraId="0B54135A" w14:textId="77777777" w:rsidR="00F340DC" w:rsidRPr="00F340DC" w:rsidRDefault="00F340DC" w:rsidP="00F340DC">
            <w:pPr>
              <w:spacing w:after="0" w:line="240" w:lineRule="auto"/>
              <w:ind w:firstLine="0"/>
              <w:jc w:val="center"/>
            </w:pPr>
          </w:p>
        </w:tc>
      </w:tr>
      <w:tr w:rsidR="00F340DC" w:rsidRPr="00F340DC" w14:paraId="4AB3A5D0" w14:textId="77777777" w:rsidTr="00F340DC">
        <w:trPr>
          <w:trHeight w:val="285"/>
        </w:trPr>
        <w:tc>
          <w:tcPr>
            <w:tcW w:w="1555" w:type="dxa"/>
            <w:noWrap/>
            <w:vAlign w:val="center"/>
            <w:hideMark/>
          </w:tcPr>
          <w:p w14:paraId="794555B9" w14:textId="77777777" w:rsidR="00F340DC" w:rsidRPr="00F340DC" w:rsidRDefault="00F340DC" w:rsidP="00F340DC">
            <w:pPr>
              <w:spacing w:after="0" w:line="240" w:lineRule="auto"/>
              <w:ind w:firstLine="0"/>
              <w:jc w:val="center"/>
            </w:pPr>
            <w:r w:rsidRPr="00F340DC">
              <w:t>InsDel10</w:t>
            </w:r>
          </w:p>
        </w:tc>
        <w:tc>
          <w:tcPr>
            <w:tcW w:w="1275" w:type="dxa"/>
            <w:noWrap/>
            <w:vAlign w:val="center"/>
            <w:hideMark/>
          </w:tcPr>
          <w:p w14:paraId="73F6A0DA" w14:textId="77777777" w:rsidR="00F340DC" w:rsidRPr="00F340DC" w:rsidRDefault="00F340DC" w:rsidP="00F340DC">
            <w:pPr>
              <w:spacing w:after="0" w:line="240" w:lineRule="auto"/>
              <w:ind w:firstLine="0"/>
              <w:jc w:val="center"/>
            </w:pPr>
            <w:r w:rsidRPr="00F340DC">
              <w:t>C_ID10**</w:t>
            </w:r>
          </w:p>
        </w:tc>
        <w:tc>
          <w:tcPr>
            <w:tcW w:w="1843" w:type="dxa"/>
            <w:noWrap/>
            <w:vAlign w:val="center"/>
            <w:hideMark/>
          </w:tcPr>
          <w:p w14:paraId="5785B4C5" w14:textId="77777777" w:rsidR="00F340DC" w:rsidRPr="00F340DC" w:rsidRDefault="00F340DC" w:rsidP="00F340DC">
            <w:pPr>
              <w:spacing w:after="0" w:line="240" w:lineRule="auto"/>
              <w:ind w:firstLine="0"/>
              <w:jc w:val="center"/>
            </w:pPr>
          </w:p>
        </w:tc>
        <w:tc>
          <w:tcPr>
            <w:tcW w:w="1559" w:type="dxa"/>
            <w:noWrap/>
            <w:vAlign w:val="center"/>
            <w:hideMark/>
          </w:tcPr>
          <w:p w14:paraId="3F74C0DC" w14:textId="77777777" w:rsidR="00F340DC" w:rsidRPr="00F340DC" w:rsidRDefault="00F340DC" w:rsidP="00F340DC">
            <w:pPr>
              <w:spacing w:after="0" w:line="240" w:lineRule="auto"/>
              <w:ind w:firstLine="0"/>
              <w:jc w:val="center"/>
            </w:pPr>
            <w:r w:rsidRPr="00F340DC">
              <w:t>InsDel_J</w:t>
            </w:r>
          </w:p>
        </w:tc>
        <w:tc>
          <w:tcPr>
            <w:tcW w:w="1276" w:type="dxa"/>
            <w:noWrap/>
            <w:vAlign w:val="center"/>
            <w:hideMark/>
          </w:tcPr>
          <w:p w14:paraId="7D1782D9" w14:textId="77777777" w:rsidR="00F340DC" w:rsidRPr="00F340DC" w:rsidRDefault="00F340DC" w:rsidP="00F340DC">
            <w:pPr>
              <w:spacing w:after="0" w:line="240" w:lineRule="auto"/>
              <w:ind w:firstLine="0"/>
              <w:jc w:val="center"/>
            </w:pPr>
            <w:r w:rsidRPr="00F340DC">
              <w:t>ID_J**</w:t>
            </w:r>
          </w:p>
        </w:tc>
        <w:tc>
          <w:tcPr>
            <w:tcW w:w="1843" w:type="dxa"/>
            <w:noWrap/>
            <w:vAlign w:val="center"/>
            <w:hideMark/>
          </w:tcPr>
          <w:p w14:paraId="0A03B140" w14:textId="77777777" w:rsidR="00F340DC" w:rsidRPr="00F340DC" w:rsidRDefault="00F340DC" w:rsidP="00F340DC">
            <w:pPr>
              <w:spacing w:after="0" w:line="240" w:lineRule="auto"/>
              <w:ind w:firstLine="0"/>
              <w:jc w:val="center"/>
            </w:pPr>
            <w:r w:rsidRPr="00F340DC">
              <w:t>dMMR</w:t>
            </w:r>
          </w:p>
        </w:tc>
      </w:tr>
      <w:tr w:rsidR="00F340DC" w:rsidRPr="00F340DC" w14:paraId="2D010ED3" w14:textId="77777777" w:rsidTr="00F340DC">
        <w:trPr>
          <w:trHeight w:val="285"/>
        </w:trPr>
        <w:tc>
          <w:tcPr>
            <w:tcW w:w="1555" w:type="dxa"/>
            <w:noWrap/>
            <w:vAlign w:val="center"/>
            <w:hideMark/>
          </w:tcPr>
          <w:p w14:paraId="68ECF3ED" w14:textId="77777777" w:rsidR="00F340DC" w:rsidRPr="00F340DC" w:rsidRDefault="00F340DC" w:rsidP="00F340DC">
            <w:pPr>
              <w:spacing w:after="0" w:line="240" w:lineRule="auto"/>
              <w:ind w:firstLine="0"/>
              <w:jc w:val="center"/>
            </w:pPr>
            <w:r w:rsidRPr="00F340DC">
              <w:t>InsDel11</w:t>
            </w:r>
          </w:p>
        </w:tc>
        <w:tc>
          <w:tcPr>
            <w:tcW w:w="1275" w:type="dxa"/>
            <w:noWrap/>
            <w:vAlign w:val="center"/>
            <w:hideMark/>
          </w:tcPr>
          <w:p w14:paraId="6556C35B" w14:textId="77777777" w:rsidR="00F340DC" w:rsidRPr="00F340DC" w:rsidRDefault="00F340DC" w:rsidP="00F340DC">
            <w:pPr>
              <w:spacing w:after="0" w:line="240" w:lineRule="auto"/>
              <w:ind w:firstLine="0"/>
              <w:jc w:val="center"/>
            </w:pPr>
            <w:r w:rsidRPr="00F340DC">
              <w:t>C_ID11</w:t>
            </w:r>
          </w:p>
        </w:tc>
        <w:tc>
          <w:tcPr>
            <w:tcW w:w="1843" w:type="dxa"/>
            <w:noWrap/>
            <w:vAlign w:val="center"/>
            <w:hideMark/>
          </w:tcPr>
          <w:p w14:paraId="4C91685A" w14:textId="77777777" w:rsidR="00F340DC" w:rsidRPr="00F340DC" w:rsidRDefault="00F340DC" w:rsidP="00F340DC">
            <w:pPr>
              <w:spacing w:after="0" w:line="240" w:lineRule="auto"/>
              <w:ind w:firstLine="0"/>
              <w:jc w:val="center"/>
            </w:pPr>
          </w:p>
        </w:tc>
        <w:tc>
          <w:tcPr>
            <w:tcW w:w="1559" w:type="dxa"/>
            <w:noWrap/>
            <w:vAlign w:val="center"/>
            <w:hideMark/>
          </w:tcPr>
          <w:p w14:paraId="015D2CED" w14:textId="77777777" w:rsidR="00F340DC" w:rsidRPr="00F340DC" w:rsidRDefault="00F340DC" w:rsidP="00F340DC">
            <w:pPr>
              <w:spacing w:after="0" w:line="240" w:lineRule="auto"/>
              <w:ind w:firstLine="0"/>
              <w:jc w:val="center"/>
            </w:pPr>
            <w:r w:rsidRPr="00F340DC">
              <w:t>InsDel_K</w:t>
            </w:r>
          </w:p>
        </w:tc>
        <w:tc>
          <w:tcPr>
            <w:tcW w:w="1276" w:type="dxa"/>
            <w:noWrap/>
            <w:vAlign w:val="center"/>
            <w:hideMark/>
          </w:tcPr>
          <w:p w14:paraId="6E91269C" w14:textId="77777777" w:rsidR="00F340DC" w:rsidRPr="00F340DC" w:rsidRDefault="00F340DC" w:rsidP="00F340DC">
            <w:pPr>
              <w:spacing w:after="0" w:line="240" w:lineRule="auto"/>
              <w:ind w:firstLine="0"/>
              <w:jc w:val="center"/>
            </w:pPr>
            <w:r w:rsidRPr="00F340DC">
              <w:t>ID_K</w:t>
            </w:r>
          </w:p>
        </w:tc>
        <w:tc>
          <w:tcPr>
            <w:tcW w:w="1843" w:type="dxa"/>
            <w:noWrap/>
            <w:vAlign w:val="center"/>
            <w:hideMark/>
          </w:tcPr>
          <w:p w14:paraId="51831673" w14:textId="77777777" w:rsidR="00F340DC" w:rsidRPr="00F340DC" w:rsidRDefault="00F340DC" w:rsidP="00F340DC">
            <w:pPr>
              <w:spacing w:after="0" w:line="240" w:lineRule="auto"/>
              <w:ind w:firstLine="0"/>
              <w:jc w:val="center"/>
            </w:pPr>
            <w:r w:rsidRPr="00F340DC">
              <w:t>POLE and dMMR</w:t>
            </w:r>
          </w:p>
        </w:tc>
      </w:tr>
      <w:tr w:rsidR="00F340DC" w:rsidRPr="00F340DC" w14:paraId="3929504A" w14:textId="77777777" w:rsidTr="00F340DC">
        <w:trPr>
          <w:trHeight w:val="285"/>
        </w:trPr>
        <w:tc>
          <w:tcPr>
            <w:tcW w:w="1555" w:type="dxa"/>
            <w:noWrap/>
            <w:vAlign w:val="center"/>
            <w:hideMark/>
          </w:tcPr>
          <w:p w14:paraId="1CA26E5A" w14:textId="77777777" w:rsidR="00F340DC" w:rsidRPr="00F340DC" w:rsidRDefault="00F340DC" w:rsidP="00F340DC">
            <w:pPr>
              <w:spacing w:after="0" w:line="240" w:lineRule="auto"/>
              <w:ind w:firstLine="0"/>
              <w:jc w:val="center"/>
            </w:pPr>
            <w:r w:rsidRPr="00F340DC">
              <w:t>InsDel12</w:t>
            </w:r>
          </w:p>
        </w:tc>
        <w:tc>
          <w:tcPr>
            <w:tcW w:w="1275" w:type="dxa"/>
            <w:noWrap/>
            <w:vAlign w:val="center"/>
            <w:hideMark/>
          </w:tcPr>
          <w:p w14:paraId="1E7020EE" w14:textId="77777777" w:rsidR="00F340DC" w:rsidRPr="00F340DC" w:rsidRDefault="00F340DC" w:rsidP="00F340DC">
            <w:pPr>
              <w:spacing w:after="0" w:line="240" w:lineRule="auto"/>
              <w:ind w:firstLine="0"/>
              <w:jc w:val="center"/>
            </w:pPr>
            <w:r w:rsidRPr="00F340DC">
              <w:t>C_ID12</w:t>
            </w:r>
          </w:p>
        </w:tc>
        <w:tc>
          <w:tcPr>
            <w:tcW w:w="1843" w:type="dxa"/>
            <w:noWrap/>
            <w:vAlign w:val="center"/>
            <w:hideMark/>
          </w:tcPr>
          <w:p w14:paraId="4EAC00B5" w14:textId="77777777" w:rsidR="00F340DC" w:rsidRPr="00F340DC" w:rsidRDefault="00F340DC" w:rsidP="00F340DC">
            <w:pPr>
              <w:spacing w:after="0" w:line="240" w:lineRule="auto"/>
              <w:ind w:firstLine="0"/>
              <w:jc w:val="center"/>
            </w:pPr>
          </w:p>
        </w:tc>
        <w:tc>
          <w:tcPr>
            <w:tcW w:w="1559" w:type="dxa"/>
            <w:noWrap/>
            <w:vAlign w:val="center"/>
            <w:hideMark/>
          </w:tcPr>
          <w:p w14:paraId="37A40D13" w14:textId="77777777" w:rsidR="00F340DC" w:rsidRPr="00F340DC" w:rsidRDefault="00F340DC" w:rsidP="00F340DC">
            <w:pPr>
              <w:spacing w:after="0" w:line="240" w:lineRule="auto"/>
              <w:ind w:firstLine="0"/>
              <w:jc w:val="center"/>
            </w:pPr>
            <w:r w:rsidRPr="00F340DC">
              <w:t>InsDel_L</w:t>
            </w:r>
          </w:p>
        </w:tc>
        <w:tc>
          <w:tcPr>
            <w:tcW w:w="1276" w:type="dxa"/>
            <w:noWrap/>
            <w:vAlign w:val="center"/>
            <w:hideMark/>
          </w:tcPr>
          <w:p w14:paraId="2B966C44" w14:textId="77777777" w:rsidR="00F340DC" w:rsidRPr="00F340DC" w:rsidRDefault="00F340DC" w:rsidP="00F340DC">
            <w:pPr>
              <w:spacing w:after="0" w:line="240" w:lineRule="auto"/>
              <w:ind w:firstLine="0"/>
              <w:jc w:val="center"/>
            </w:pPr>
            <w:r w:rsidRPr="00F340DC">
              <w:t>ID_L</w:t>
            </w:r>
          </w:p>
        </w:tc>
        <w:tc>
          <w:tcPr>
            <w:tcW w:w="1843" w:type="dxa"/>
            <w:noWrap/>
            <w:vAlign w:val="center"/>
            <w:hideMark/>
          </w:tcPr>
          <w:p w14:paraId="44C448CA" w14:textId="77777777" w:rsidR="00F340DC" w:rsidRPr="00F340DC" w:rsidRDefault="00F340DC" w:rsidP="00F340DC">
            <w:pPr>
              <w:spacing w:after="0" w:line="240" w:lineRule="auto"/>
              <w:ind w:firstLine="0"/>
              <w:jc w:val="center"/>
            </w:pPr>
          </w:p>
        </w:tc>
      </w:tr>
      <w:tr w:rsidR="00F340DC" w:rsidRPr="00F340DC" w14:paraId="3979DED6" w14:textId="77777777" w:rsidTr="00F340DC">
        <w:trPr>
          <w:trHeight w:val="285"/>
        </w:trPr>
        <w:tc>
          <w:tcPr>
            <w:tcW w:w="1555" w:type="dxa"/>
            <w:noWrap/>
            <w:vAlign w:val="center"/>
            <w:hideMark/>
          </w:tcPr>
          <w:p w14:paraId="00F9F7BC" w14:textId="77777777" w:rsidR="00F340DC" w:rsidRPr="00F340DC" w:rsidRDefault="00F340DC" w:rsidP="00F340DC">
            <w:pPr>
              <w:spacing w:after="0" w:line="240" w:lineRule="auto"/>
              <w:ind w:firstLine="0"/>
              <w:jc w:val="center"/>
            </w:pPr>
            <w:r w:rsidRPr="00F340DC">
              <w:t>InsDel13</w:t>
            </w:r>
          </w:p>
        </w:tc>
        <w:tc>
          <w:tcPr>
            <w:tcW w:w="1275" w:type="dxa"/>
            <w:noWrap/>
            <w:vAlign w:val="center"/>
            <w:hideMark/>
          </w:tcPr>
          <w:p w14:paraId="10A19A67" w14:textId="77777777" w:rsidR="00F340DC" w:rsidRPr="00F340DC" w:rsidRDefault="00F340DC" w:rsidP="00F340DC">
            <w:pPr>
              <w:spacing w:after="0" w:line="240" w:lineRule="auto"/>
              <w:ind w:firstLine="0"/>
              <w:jc w:val="center"/>
            </w:pPr>
            <w:r w:rsidRPr="00F340DC">
              <w:t>C_ID13</w:t>
            </w:r>
          </w:p>
        </w:tc>
        <w:tc>
          <w:tcPr>
            <w:tcW w:w="1843" w:type="dxa"/>
            <w:noWrap/>
            <w:vAlign w:val="center"/>
            <w:hideMark/>
          </w:tcPr>
          <w:p w14:paraId="22AD1040" w14:textId="77777777" w:rsidR="00F340DC" w:rsidRPr="00F340DC" w:rsidRDefault="00F340DC" w:rsidP="00F340DC">
            <w:pPr>
              <w:spacing w:after="0" w:line="240" w:lineRule="auto"/>
              <w:ind w:firstLine="0"/>
              <w:jc w:val="center"/>
            </w:pPr>
            <w:r w:rsidRPr="00F340DC">
              <w:t>UV exposure</w:t>
            </w:r>
          </w:p>
        </w:tc>
        <w:tc>
          <w:tcPr>
            <w:tcW w:w="1559" w:type="dxa"/>
            <w:noWrap/>
            <w:vAlign w:val="center"/>
            <w:hideMark/>
          </w:tcPr>
          <w:p w14:paraId="64553A62" w14:textId="77777777" w:rsidR="00F340DC" w:rsidRPr="00F340DC" w:rsidRDefault="00F340DC" w:rsidP="00F340DC">
            <w:pPr>
              <w:spacing w:after="0" w:line="240" w:lineRule="auto"/>
              <w:ind w:firstLine="0"/>
              <w:jc w:val="center"/>
            </w:pPr>
            <w:r w:rsidRPr="00F340DC">
              <w:t>InsDel_M</w:t>
            </w:r>
          </w:p>
        </w:tc>
        <w:tc>
          <w:tcPr>
            <w:tcW w:w="1276" w:type="dxa"/>
            <w:noWrap/>
            <w:vAlign w:val="center"/>
            <w:hideMark/>
          </w:tcPr>
          <w:p w14:paraId="34AD9C9A" w14:textId="77777777" w:rsidR="00F340DC" w:rsidRPr="00F340DC" w:rsidRDefault="00F340DC" w:rsidP="00F340DC">
            <w:pPr>
              <w:spacing w:after="0" w:line="240" w:lineRule="auto"/>
              <w:ind w:firstLine="0"/>
              <w:jc w:val="center"/>
            </w:pPr>
            <w:r w:rsidRPr="00F340DC">
              <w:t>ID_M</w:t>
            </w:r>
          </w:p>
        </w:tc>
        <w:tc>
          <w:tcPr>
            <w:tcW w:w="1843" w:type="dxa"/>
            <w:noWrap/>
            <w:vAlign w:val="center"/>
            <w:hideMark/>
          </w:tcPr>
          <w:p w14:paraId="035D9DC2" w14:textId="77777777" w:rsidR="00F340DC" w:rsidRPr="00F340DC" w:rsidRDefault="00F340DC" w:rsidP="00F340DC">
            <w:pPr>
              <w:spacing w:after="0" w:line="240" w:lineRule="auto"/>
              <w:ind w:firstLine="0"/>
              <w:jc w:val="center"/>
            </w:pPr>
          </w:p>
        </w:tc>
      </w:tr>
      <w:tr w:rsidR="00F340DC" w:rsidRPr="00F340DC" w14:paraId="5EC6A71E" w14:textId="77777777" w:rsidTr="00F340DC">
        <w:trPr>
          <w:trHeight w:val="285"/>
        </w:trPr>
        <w:tc>
          <w:tcPr>
            <w:tcW w:w="1555" w:type="dxa"/>
            <w:noWrap/>
            <w:vAlign w:val="center"/>
            <w:hideMark/>
          </w:tcPr>
          <w:p w14:paraId="13669CE6" w14:textId="77777777" w:rsidR="00F340DC" w:rsidRPr="00F340DC" w:rsidRDefault="00F340DC" w:rsidP="00F340DC">
            <w:pPr>
              <w:spacing w:after="0" w:line="240" w:lineRule="auto"/>
              <w:ind w:firstLine="0"/>
              <w:jc w:val="center"/>
            </w:pPr>
            <w:r w:rsidRPr="00F340DC">
              <w:t>InsDel14</w:t>
            </w:r>
          </w:p>
        </w:tc>
        <w:tc>
          <w:tcPr>
            <w:tcW w:w="1275" w:type="dxa"/>
            <w:noWrap/>
            <w:vAlign w:val="center"/>
            <w:hideMark/>
          </w:tcPr>
          <w:p w14:paraId="629DDF45" w14:textId="77777777" w:rsidR="00F340DC" w:rsidRPr="00F340DC" w:rsidRDefault="00F340DC" w:rsidP="00F340DC">
            <w:pPr>
              <w:spacing w:after="0" w:line="240" w:lineRule="auto"/>
              <w:ind w:firstLine="0"/>
              <w:jc w:val="center"/>
            </w:pPr>
            <w:r w:rsidRPr="00F340DC">
              <w:t>C_ID14</w:t>
            </w:r>
          </w:p>
        </w:tc>
        <w:tc>
          <w:tcPr>
            <w:tcW w:w="1843" w:type="dxa"/>
            <w:noWrap/>
            <w:vAlign w:val="center"/>
            <w:hideMark/>
          </w:tcPr>
          <w:p w14:paraId="5D8B515A" w14:textId="77777777" w:rsidR="00F340DC" w:rsidRPr="00F340DC" w:rsidRDefault="00F340DC" w:rsidP="00F340DC">
            <w:pPr>
              <w:spacing w:after="0" w:line="240" w:lineRule="auto"/>
              <w:ind w:firstLine="0"/>
              <w:jc w:val="center"/>
            </w:pPr>
          </w:p>
        </w:tc>
        <w:tc>
          <w:tcPr>
            <w:tcW w:w="1559" w:type="dxa"/>
            <w:noWrap/>
            <w:vAlign w:val="center"/>
            <w:hideMark/>
          </w:tcPr>
          <w:p w14:paraId="44BCCA21" w14:textId="77777777" w:rsidR="00F340DC" w:rsidRPr="00F340DC" w:rsidRDefault="00F340DC" w:rsidP="00F340DC">
            <w:pPr>
              <w:spacing w:after="0" w:line="240" w:lineRule="auto"/>
              <w:ind w:firstLine="0"/>
              <w:jc w:val="center"/>
            </w:pPr>
            <w:r w:rsidRPr="00F340DC">
              <w:t>InsDel_Nα</w:t>
            </w:r>
          </w:p>
        </w:tc>
        <w:tc>
          <w:tcPr>
            <w:tcW w:w="1276" w:type="dxa"/>
            <w:vMerge w:val="restart"/>
            <w:noWrap/>
            <w:vAlign w:val="center"/>
            <w:hideMark/>
          </w:tcPr>
          <w:p w14:paraId="19A32510" w14:textId="77777777" w:rsidR="00F340DC" w:rsidRPr="00F340DC" w:rsidRDefault="00F340DC" w:rsidP="00F340DC">
            <w:pPr>
              <w:spacing w:after="0" w:line="240" w:lineRule="auto"/>
              <w:ind w:firstLine="0"/>
              <w:jc w:val="center"/>
            </w:pPr>
            <w:r w:rsidRPr="00F340DC">
              <w:t>ID_N</w:t>
            </w:r>
          </w:p>
        </w:tc>
        <w:tc>
          <w:tcPr>
            <w:tcW w:w="1843" w:type="dxa"/>
            <w:noWrap/>
            <w:vAlign w:val="center"/>
            <w:hideMark/>
          </w:tcPr>
          <w:p w14:paraId="22D19ED2" w14:textId="340E5983" w:rsidR="00F340DC" w:rsidRPr="00F340DC" w:rsidRDefault="00F340DC" w:rsidP="00F340DC">
            <w:pPr>
              <w:spacing w:after="0" w:line="240" w:lineRule="auto"/>
              <w:ind w:firstLine="0"/>
              <w:jc w:val="center"/>
            </w:pPr>
            <w:r w:rsidRPr="00F340DC">
              <w:t>POLE and dMMR</w:t>
            </w:r>
          </w:p>
        </w:tc>
      </w:tr>
      <w:tr w:rsidR="00F340DC" w:rsidRPr="00F340DC" w14:paraId="3DA92192" w14:textId="77777777" w:rsidTr="00F340DC">
        <w:trPr>
          <w:trHeight w:val="285"/>
        </w:trPr>
        <w:tc>
          <w:tcPr>
            <w:tcW w:w="1555" w:type="dxa"/>
            <w:noWrap/>
            <w:vAlign w:val="center"/>
            <w:hideMark/>
          </w:tcPr>
          <w:p w14:paraId="06061905" w14:textId="77777777" w:rsidR="00F340DC" w:rsidRPr="00F340DC" w:rsidRDefault="00F340DC" w:rsidP="00F340DC">
            <w:pPr>
              <w:spacing w:after="0" w:line="240" w:lineRule="auto"/>
              <w:ind w:firstLine="0"/>
              <w:jc w:val="center"/>
            </w:pPr>
            <w:r w:rsidRPr="00F340DC">
              <w:t>InsDel15</w:t>
            </w:r>
          </w:p>
        </w:tc>
        <w:tc>
          <w:tcPr>
            <w:tcW w:w="1275" w:type="dxa"/>
            <w:noWrap/>
            <w:vAlign w:val="center"/>
            <w:hideMark/>
          </w:tcPr>
          <w:p w14:paraId="32FA969B" w14:textId="77777777" w:rsidR="00F340DC" w:rsidRPr="00F340DC" w:rsidRDefault="00F340DC" w:rsidP="00F340DC">
            <w:pPr>
              <w:spacing w:after="0" w:line="240" w:lineRule="auto"/>
              <w:ind w:firstLine="0"/>
              <w:jc w:val="center"/>
            </w:pPr>
            <w:r w:rsidRPr="00F340DC">
              <w:t>C_ID15</w:t>
            </w:r>
          </w:p>
        </w:tc>
        <w:tc>
          <w:tcPr>
            <w:tcW w:w="1843" w:type="dxa"/>
            <w:noWrap/>
            <w:vAlign w:val="center"/>
            <w:hideMark/>
          </w:tcPr>
          <w:p w14:paraId="52707E37" w14:textId="77777777" w:rsidR="00F340DC" w:rsidRPr="00F340DC" w:rsidRDefault="00F340DC" w:rsidP="00F340DC">
            <w:pPr>
              <w:spacing w:after="0" w:line="240" w:lineRule="auto"/>
              <w:ind w:firstLine="0"/>
              <w:jc w:val="center"/>
            </w:pPr>
          </w:p>
        </w:tc>
        <w:tc>
          <w:tcPr>
            <w:tcW w:w="1559" w:type="dxa"/>
            <w:noWrap/>
            <w:vAlign w:val="center"/>
            <w:hideMark/>
          </w:tcPr>
          <w:p w14:paraId="40A6EFE1" w14:textId="77777777" w:rsidR="00F340DC" w:rsidRPr="00F340DC" w:rsidRDefault="00F340DC" w:rsidP="00F340DC">
            <w:pPr>
              <w:spacing w:after="0" w:line="240" w:lineRule="auto"/>
              <w:ind w:firstLine="0"/>
              <w:jc w:val="center"/>
            </w:pPr>
            <w:r w:rsidRPr="00F340DC">
              <w:t>InsDel_Nβ</w:t>
            </w:r>
          </w:p>
        </w:tc>
        <w:tc>
          <w:tcPr>
            <w:tcW w:w="1276" w:type="dxa"/>
            <w:vMerge/>
            <w:vAlign w:val="center"/>
            <w:hideMark/>
          </w:tcPr>
          <w:p w14:paraId="5F4D53CB" w14:textId="77777777" w:rsidR="00F340DC" w:rsidRPr="00F340DC" w:rsidRDefault="00F340DC" w:rsidP="00F340DC">
            <w:pPr>
              <w:spacing w:after="0" w:line="240" w:lineRule="auto"/>
              <w:ind w:firstLine="0"/>
              <w:jc w:val="center"/>
            </w:pPr>
          </w:p>
        </w:tc>
        <w:tc>
          <w:tcPr>
            <w:tcW w:w="1843" w:type="dxa"/>
            <w:noWrap/>
            <w:vAlign w:val="center"/>
            <w:hideMark/>
          </w:tcPr>
          <w:p w14:paraId="34947068" w14:textId="77777777" w:rsidR="00F340DC" w:rsidRPr="00F340DC" w:rsidRDefault="00F340DC" w:rsidP="00F340DC">
            <w:pPr>
              <w:spacing w:after="0" w:line="240" w:lineRule="auto"/>
              <w:ind w:firstLine="0"/>
              <w:jc w:val="center"/>
            </w:pPr>
          </w:p>
        </w:tc>
      </w:tr>
    </w:tbl>
    <w:p w14:paraId="5CB77DB1" w14:textId="1C79A513" w:rsidR="00CA05B3" w:rsidRPr="00F340DC" w:rsidRDefault="00F340DC" w:rsidP="00F340DC">
      <w:pPr>
        <w:ind w:firstLine="0"/>
        <w:rPr>
          <w:rFonts w:ascii="Calibri" w:eastAsia="宋体" w:hAnsi="Calibri" w:cs="Noto Sans Arabic UI" w:hint="eastAsia"/>
          <w:sz w:val="22"/>
          <w:szCs w:val="22"/>
        </w:rPr>
      </w:pPr>
      <w:r w:rsidRPr="00F340DC">
        <w:t xml:space="preserve"> </w:t>
      </w:r>
      <w:r>
        <w:fldChar w:fldCharType="begin"/>
      </w:r>
      <w:r>
        <w:instrText xml:space="preserve"> LINK Excel.Sheet.12 "C:\\Users\\lmliu\\Downloads\\table_1_autogenerated (1).xlsx" "Sheet1!R1C1:R23C6" \a \f 5 \h  \* MERGEFORMAT </w:instrText>
      </w:r>
      <w:r>
        <w:fldChar w:fldCharType="separate"/>
      </w:r>
      <w:r>
        <w:fldChar w:fldCharType="end"/>
      </w:r>
    </w:p>
    <w:sectPr w:rsidR="00CA05B3" w:rsidRPr="00F340DC">
      <w:footerReference w:type="default" r:id="rId24"/>
      <w:footerReference w:type="first" r:id="rId25"/>
      <w:pgSz w:w="12240" w:h="15840"/>
      <w:pgMar w:top="144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Mo Liu" w:date="2026-05-08T11:29:00Z" w:initials="ML">
    <w:p w14:paraId="1570CFFE" w14:textId="77777777" w:rsidR="00CA05B3" w:rsidRDefault="00000000">
      <w:pPr>
        <w:spacing w:after="0" w:line="240" w:lineRule="auto"/>
      </w:pPr>
      <w:r>
        <w:annotationRef/>
      </w:r>
      <w:r>
        <w:rPr>
          <w:rFonts w:ascii="Calibri" w:eastAsia="宋体" w:hAnsi="Calibri" w:cs="Noto Sans Arabic UI"/>
          <w:sz w:val="22"/>
          <w:szCs w:val="22"/>
        </w:rPr>
        <w:t>I put all related anlaysis in Table S9 for now</w:t>
      </w:r>
    </w:p>
  </w:comment>
  <w:comment w:id="19" w:author="Mo Liu" w:date="2026-04-07T16:27:00Z" w:initials="ML">
    <w:p w14:paraId="1617283C" w14:textId="77777777" w:rsidR="00CA05B3" w:rsidRDefault="00000000">
      <w:pPr>
        <w:overflowPunct w:val="0"/>
        <w:spacing w:after="0" w:line="240" w:lineRule="auto"/>
      </w:pPr>
      <w:r>
        <w:annotationRef/>
      </w:r>
      <w:r>
        <w:rPr>
          <w:rFonts w:ascii="Calibri" w:eastAsia="宋体" w:hAnsi="Calibri" w:cs="Noto Sans Arabic UI"/>
          <w:sz w:val="22"/>
          <w:szCs w:val="22"/>
        </w:rPr>
        <w:t>To Steve: Please check if you edited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70CFFE" w15:done="0"/>
  <w15:commentEx w15:paraId="1617283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70CFFE" w16cid:durableId="3909BB15"/>
  <w16cid:commentId w16cid:paraId="1617283C" w16cid:durableId="2D2FC5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2C55E" w14:textId="77777777" w:rsidR="005F3649" w:rsidRDefault="005F3649">
      <w:pPr>
        <w:spacing w:after="0" w:line="240" w:lineRule="auto"/>
      </w:pPr>
      <w:r>
        <w:separator/>
      </w:r>
    </w:p>
  </w:endnote>
  <w:endnote w:type="continuationSeparator" w:id="0">
    <w:p w14:paraId="691CF50F" w14:textId="77777777" w:rsidR="005F3649" w:rsidRDefault="005F3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charset w:val="00"/>
    <w:family w:val="roman"/>
    <w:pitch w:val="default"/>
  </w:font>
  <w:font w:name="DejaVu Sans">
    <w:altName w:val="Verdana"/>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Calibri"/>
    <w:charset w:val="01"/>
    <w:family w:val="swiss"/>
    <w:pitch w:val="variable"/>
  </w:font>
  <w:font w:name="Liberation Sans">
    <w:altName w:val="Arial"/>
    <w:charset w:val="01"/>
    <w:family w:val="swiss"/>
    <w:pitch w:val="variable"/>
  </w:font>
  <w:font w:name="Google Sans;Roboto;Arial;sans-s">
    <w:altName w:val="Cambria"/>
    <w:panose1 w:val="00000000000000000000"/>
    <w:charset w:val="00"/>
    <w:family w:val="roman"/>
    <w:notTrueType/>
    <w:pitch w:val="default"/>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5437C" w14:textId="77777777" w:rsidR="00CA05B3"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8379E" w14:textId="77777777" w:rsidR="00CA05B3"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F7C0F" w14:textId="77777777" w:rsidR="005F3649" w:rsidRDefault="005F3649">
      <w:pPr>
        <w:spacing w:after="0" w:line="240" w:lineRule="auto"/>
      </w:pPr>
      <w:r>
        <w:separator/>
      </w:r>
    </w:p>
  </w:footnote>
  <w:footnote w:type="continuationSeparator" w:id="0">
    <w:p w14:paraId="7F4FC449" w14:textId="77777777" w:rsidR="005F3649" w:rsidRDefault="005F36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47B36"/>
    <w:multiLevelType w:val="multilevel"/>
    <w:tmpl w:val="13F0571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A962071"/>
    <w:multiLevelType w:val="multilevel"/>
    <w:tmpl w:val="8B8E322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DC73C02"/>
    <w:multiLevelType w:val="multilevel"/>
    <w:tmpl w:val="C3C267BC"/>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70CA5400"/>
    <w:multiLevelType w:val="multilevel"/>
    <w:tmpl w:val="BB9838F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699161569">
    <w:abstractNumId w:val="1"/>
  </w:num>
  <w:num w:numId="2" w16cid:durableId="1377192766">
    <w:abstractNumId w:val="3"/>
  </w:num>
  <w:num w:numId="3" w16cid:durableId="1791124052">
    <w:abstractNumId w:val="2"/>
  </w:num>
  <w:num w:numId="4" w16cid:durableId="165671455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5B3"/>
    <w:rsid w:val="005E7864"/>
    <w:rsid w:val="005F3649"/>
    <w:rsid w:val="00C902CA"/>
    <w:rsid w:val="00CA05B3"/>
    <w:rsid w:val="00F340DC"/>
    <w:rsid w:val="00F6674F"/>
    <w:rsid w:val="00F7001D"/>
    <w:rsid w:val="00FA213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FB4E2"/>
  <w15:docId w15:val="{B849F5AB-3C19-482F-962A-C667512F4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qFormat/>
    <w:pPr>
      <w:numPr>
        <w:ilvl w:val="2"/>
        <w:numId w:val="2"/>
      </w:numPr>
      <w:spacing w:before="140"/>
      <w:outlineLvl w:val="2"/>
    </w:pPr>
    <w:rPr>
      <w:rFonts w:ascii="Times New Roman" w:hAnsi="Times New Roman"/>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qFormat/>
    <w:rPr>
      <w:sz w:val="21"/>
      <w:szCs w:val="21"/>
    </w:rPr>
  </w:style>
  <w:style w:type="character" w:customStyle="1" w:styleId="CommentTextChar">
    <w:name w:val="Comment Text Char"/>
    <w:basedOn w:val="DefaultParagraphFont"/>
    <w:link w:val="CommentText"/>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
    <w:name w:val="Bullets"/>
    <w:qFormat/>
    <w:rPr>
      <w:rFonts w:ascii="OpenSymbol" w:eastAsia="OpenSymbol" w:hAnsi="OpenSymbol" w:cs="OpenSymbol"/>
    </w:rPr>
  </w:style>
  <w:style w:type="character" w:styleId="LineNumber">
    <w:name w:val="line number"/>
  </w:style>
  <w:style w:type="character" w:styleId="Strong">
    <w:name w:val="Strong"/>
    <w:qFormat/>
    <w:rPr>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semiHidden/>
    <w:unhideWhenUsed/>
    <w:qFormat/>
    <w:rsid w:val="00D20570"/>
  </w:style>
  <w:style w:type="table" w:styleId="TableGrid">
    <w:name w:val="Table Grid"/>
    <w:basedOn w:val="TableNormal"/>
    <w:uiPriority w:val="39"/>
    <w:rsid w:val="00F340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anusights.com/blog/cell-formatting-requirements" TargetMode="External"/><Relationship Id="rId13" Type="http://schemas.openxmlformats.org/officeDocument/2006/relationships/hyperlink" Target="https://www.sciencedirect.com/science/article/pii/S2211124722002996" TargetMode="External"/><Relationship Id="rId18" Type="http://schemas.openxmlformats.org/officeDocument/2006/relationships/hyperlink" Target="https://cancer.sanger.ac.uk/signatures/id/"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hgdownload.cse.ucsc.edu/goldenPath/hg19/encodeDCC/wgEncodeUwRepliSeq/" TargetMode="External"/><Relationship Id="rId7" Type="http://schemas.openxmlformats.org/officeDocument/2006/relationships/hyperlink" Target="mailto:mo.liu@gzhmu.edu.cn" TargetMode="External"/><Relationship Id="rId12" Type="http://schemas.openxmlformats.org/officeDocument/2006/relationships/hyperlink" Target="https://www.cell.com/cell/information-for-authors/article-types" TargetMode="External"/><Relationship Id="rId17" Type="http://schemas.openxmlformats.org/officeDocument/2006/relationships/hyperlink" Target="https://dcc.icgc.org/releases/current/Projects/" TargetMode="External"/><Relationship Id="rId25" Type="http://schemas.openxmlformats.org/officeDocument/2006/relationships/footer" Target="footer2.xml"/><Relationship Id="rId2" Type="http://schemas.openxmlformats.org/officeDocument/2006/relationships/styles" Target="styles.xml"/><Relationship Id="rId16" Type="http://schemas.microsoft.com/office/2016/09/relationships/commentsIds" Target="commentsIds.xml"/><Relationship Id="rId20" Type="http://schemas.openxmlformats.org/officeDocument/2006/relationships/hyperlink" Target="https://doi.org/10.1016/j.celrep.2023.11293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ell.com/multi-journal-submission/authors" TargetMode="External"/><Relationship Id="rId24" Type="http://schemas.openxmlformats.org/officeDocument/2006/relationships/footer" Target="footer1.xml"/><Relationship Id="rId5"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hyperlink" Target="https://www.synapse.org/" TargetMode="External"/><Relationship Id="rId28" Type="http://schemas.openxmlformats.org/officeDocument/2006/relationships/theme" Target="theme/theme1.xml"/><Relationship Id="rId10" Type="http://schemas.openxmlformats.org/officeDocument/2006/relationships/hyperlink" Target="https://manusights.com/blog/cell-formatting-requirements" TargetMode="External"/><Relationship Id="rId19" Type="http://schemas.openxmlformats.org/officeDocument/2006/relationships/hyperlink" Target="https://bmcbioinformatics.biomedcentral.com/articles/10.1186/s12859-020-03772-3" TargetMode="External"/><Relationship Id="rId4" Type="http://schemas.openxmlformats.org/officeDocument/2006/relationships/webSettings" Target="webSettings.xml"/><Relationship Id="rId9" Type="http://schemas.openxmlformats.org/officeDocument/2006/relationships/hyperlink" Target="https://www.cell.com/cell-genomics/information-for-authors/article-types" TargetMode="External"/><Relationship Id="rId14" Type="http://schemas.openxmlformats.org/officeDocument/2006/relationships/comments" Target="comments.xml"/><Relationship Id="rId22" Type="http://schemas.openxmlformats.org/officeDocument/2006/relationships/hyperlink" Target="https://genomebiology.biomedcentral.com/articles/10.1186/s13059-018-1509-y" TargetMode="Externa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10043</Words>
  <Characters>57251</Characters>
  <Application>Microsoft Office Word</Application>
  <DocSecurity>0</DocSecurity>
  <Lines>477</Lines>
  <Paragraphs>134</Paragraphs>
  <ScaleCrop>false</ScaleCrop>
  <Company/>
  <LinksUpToDate>false</LinksUpToDate>
  <CharactersWithSpaces>67160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2</cp:revision>
  <cp:lastPrinted>2025-06-06T09:23:00Z</cp:lastPrinted>
  <dcterms:created xsi:type="dcterms:W3CDTF">2026-05-14T11:31:00Z</dcterms:created>
  <dcterms:modified xsi:type="dcterms:W3CDTF">2026-05-14T11:31:00Z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zotero-version="8.0.4"&gt;&lt;session id="hrQZjRzN"/&gt;&lt;style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