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Fonts w:eastAsia="Times New Roman"/>
          <w:b/>
          <w:bCs/>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numPr>
          <w:ilvl w:val="0"/>
          <w:numId w:val="0"/>
        </w:numPr>
        <w:ind w:hanging="0" w:start="720"/>
        <w:rPr/>
      </w:pPr>
      <w:r>
        <w:rPr/>
        <w:drawing>
          <wp:anchor distT="0" distB="0" distL="0" distR="0" simplePos="0" relativeHeight="7"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 xml:space="preserve">(Table S9; </w:t>
      </w:r>
      <w:r>
        <w:rPr>
          <w:shd w:fill="FF0000" w:val="clear"/>
        </w:rPr>
        <w:t>possibly remove some of the sheets from table S9)</w:t>
      </w:r>
      <w:r>
        <w:rPr/>
        <w:t>.</w:t>
      </w:r>
    </w:p>
    <w:p>
      <w:pPr>
        <w:pStyle w:val="normalfirst"/>
        <w:rPr/>
      </w:pPr>
      <w:r>
        <w:rPr>
          <w:rFonts w:eastAsia="Times New Roman" w:hint="eastAsia"/>
          <w:b/>
          <w:bCs/>
          <w:i/>
          <w:iCs/>
        </w:rPr>
        <w:t>Two cases where the 89-type classification misses clear differences.</w:t>
      </w:r>
      <w:r>
        <w:rPr>
          <w:rFonts w:eastAsia="Times New Roman" w:hint="eastAsia"/>
          <w:b/>
          <w:bCs/>
        </w:rPr>
        <w:t xml:space="preserve"> </w:t>
      </w: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rPr/>
      </w:pPr>
      <w:r>
        <w:rPr>
          <w:rFonts w:eastAsia="Times New Roman"/>
          <w:b/>
          <w:bCs/>
          <w:i/>
          <w:iCs/>
        </w:rPr>
        <w:t>APOBEC3A activity and InsDel_Aβ</w:t>
      </w:r>
      <w:r>
        <w:rPr>
          <w:rFonts w:eastAsia="Times New Roman" w:hint="eastAsia"/>
          <w:b/>
          <w:bCs/>
          <w:i/>
          <w:iCs/>
        </w:rPr>
        <w:t xml:space="preserve">. </w:t>
      </w: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very distinct enough from InsDel9 in the 476-type classification to warrant an identifier.  </w:t>
      </w:r>
    </w:p>
    <w:p>
      <w:pPr>
        <w:pStyle w:val="normalfirst"/>
        <w:rPr>
          <w:shd w:fill="FFFF00" w:val="clear"/>
        </w:rPr>
      </w:pPr>
      <w:r>
        <w:rPr>
          <w:rFonts w:eastAsia="Times New Roman" w:hint="eastAsia" w:ascii="Times New Roman" w:hAnsi="Times New Roman"/>
          <w:b/>
          <w:bCs/>
          <w:i/>
          <w:iCs/>
          <w:shd w:fill="auto" w:val="clear"/>
        </w:rPr>
        <w:t>New signatures with similar proportions of deletions and insertions of a single T in poly-T tracts.</w:t>
      </w:r>
      <w:r>
        <w:rPr>
          <w:rFonts w:eastAsia="Times New Roman" w:hint="eastAsia" w:ascii="Times New Roman" w:hAnsi="Times New Roman"/>
          <w:b/>
          <w:bCs/>
          <w:shd w:fill="auto" w:val="clear"/>
        </w:rPr>
        <w:t xml:space="preserve"> </w:t>
      </w:r>
      <w:r>
        <w:rPr>
          <w:rFonts w:eastAsia="Times New Roman" w:hint="eastAsia" w:ascii="Times New Roman" w:hAnsi="Times New Roman"/>
          <w:shd w:fill="auto" w:val="clear"/>
        </w:rPr>
        <w:t xml:space="preserve"> </w:t>
      </w:r>
      <w:r>
        <w:rPr>
          <w:rFonts w:eastAsia="Times New Roman" w:ascii="Times New Roman" w:hAnsi="Times New Roman"/>
        </w:rPr>
        <w:t>W</w:t>
      </w:r>
      <w:r>
        <w:rPr>
          <w:rFonts w:eastAsia="Times New Roman" w:ascii="Times New Roman" w:hAnsi="Times New Roman"/>
        </w:rPr>
        <w:t xml:space="preserve">e identified 89-type and 476-type signatures InsDel_Nα and InsDel_Nβ </w:t>
      </w:r>
      <w:r>
        <w:rPr>
          <w:rFonts w:eastAsia="Times New Roman" w:ascii="Times New Roman" w:hAnsi="Times New Roman"/>
        </w:rPr>
        <w:t>and a corresponding 83-type signature, ID_N</w:t>
      </w:r>
      <w:r>
        <w:rPr>
          <w:rFonts w:eastAsia="Times New Roman" w:ascii="Times New Roman" w:hAnsi="Times New Roman"/>
        </w:rPr>
        <w:t xml:space="preserve">. </w:t>
      </w:r>
      <w:r>
        <w:rPr>
          <w:rFonts w:eastAsia="Times New Roman" w:ascii="Times New Roman" w:hAnsi="Times New Roman"/>
        </w:rPr>
        <w:t>These signatures have similar proportions of deletions and insertions of single thymines in poly-T tracts. Previous analysis in the 83-type system allocated these separately to ID2 and ID1, respectively &lt;cite alexandrov et al.&gt; In the our analysis</w:t>
      </w:r>
      <w:r>
        <w:rPr>
          <w:rFonts w:eastAsia="Times New Roman" w:ascii="Times New Roman" w:hAnsi="Times New Roman"/>
        </w:rPr>
        <w:t xml:space="preserve"> InsDel_Nα </w:t>
      </w:r>
      <w:r>
        <w:rPr>
          <w:rFonts w:eastAsia="Times New Roman" w:ascii="Times New Roman" w:hAnsi="Times New Roman"/>
        </w:rPr>
        <w:t xml:space="preserve">is highly enriched in tumors with deficiency in both </w:t>
      </w:r>
      <w:r>
        <w:rPr>
          <w:rFonts w:eastAsia="Times New Roman" w:ascii="Times New Roman" w:hAnsi="Times New Roman"/>
        </w:rPr>
        <w:t xml:space="preserve">POLE </w:t>
      </w:r>
      <w:r>
        <w:rPr>
          <w:rFonts w:eastAsia="Times New Roman" w:ascii="Times New Roman" w:hAnsi="Times New Roman"/>
        </w:rPr>
        <w:t>proofreading</w:t>
      </w:r>
      <w:r>
        <w:rPr>
          <w:rFonts w:eastAsia="Times New Roman" w:ascii="Times New Roman" w:hAnsi="Times New Roman"/>
        </w:rPr>
        <w:t xml:space="preserve"> and mismatch repair </w:t>
      </w:r>
      <w:r>
        <w:rPr>
          <w:rFonts w:eastAsia="Times New Roman" w:ascii="Times New Roman" w:hAnsi="Times New Roman"/>
        </w:rPr>
        <w:t xml:space="preserve">(Table S9). </w:t>
      </w:r>
      <w:r>
        <w:rPr>
          <w:rFonts w:eastAsia="Times New Roman" w:ascii="Times New Roman" w:hAnsi="Times New Roman"/>
        </w:rPr>
        <w:t xml:space="preserve"> </w:t>
      </w:r>
      <w:r>
        <w:rPr>
          <w:rFonts w:eastAsia="Times New Roman" w:ascii="Times New Roman" w:hAnsi="Times New Roman"/>
        </w:rPr>
        <w:t xml:space="preserve">A similar signature, </w:t>
      </w:r>
      <w:r>
        <w:rPr>
          <w:rFonts w:eastAsia="Times New Roman" w:ascii="Times New Roman" w:hAnsi="Times New Roman"/>
        </w:rPr>
        <w:t xml:space="preserve">InD16b </w:t>
      </w:r>
      <w:r>
        <w:rPr>
          <w:rFonts w:eastAsia="Times New Roman" w:ascii="Times New Roman" w:hAnsi="Times New Roman"/>
        </w:rPr>
        <w:t xml:space="preserve">(cosine similarity 0.923), was also </w:t>
      </w:r>
      <w:r>
        <w:rPr>
          <w:rFonts w:eastAsia="Times New Roman" w:ascii="Times New Roman" w:hAnsi="Times New Roman"/>
        </w:rPr>
        <w:t xml:space="preserve">previously reported </w:t>
      </w:r>
      <w:r>
        <w:rPr>
          <w:rFonts w:eastAsia="Times New Roman" w:ascii="Times New Roman" w:hAnsi="Times New Roman"/>
        </w:rPr>
        <w:t>to be associated with POLE proofreading and MMR deficiency</w:t>
      </w:r>
      <w:r>
        <w:rPr>
          <w:rFonts w:eastAsia="Times New Roman" w:ascii="Times New Roman" w:hAnsi="Times New Roman"/>
        </w:rPr>
        <w:t xml:space="preserve"> </w:t>
      </w:r>
      <w:r>
        <w:rPr>
          <w:rFonts w:eastAsia="Times New Roman" w:hint="eastAsia" w:ascii="Times New Roman" w:hAnsi="Times New Roman"/>
          <w:highlight w:val="cyan"/>
        </w:rPr>
        <w:t>(Table1,</w:t>
      </w:r>
      <w:r>
        <w:rPr>
          <w:rFonts w:eastAsia="Times New Roman" w:hint="eastAsia" w:ascii="Times New Roman" w:hAnsi="Times New Roman"/>
          <w:highlight w:val="cyan"/>
        </w:rPr>
        <w:t xml:space="preserve"> </w:t>
      </w:r>
      <w:r>
        <w:rPr>
          <w:rFonts w:eastAsia="Times New Roman" w:hint="eastAsia" w:ascii="Times New Roman" w:hAnsi="Times New Roman"/>
          <w:highlight w:val="cyan"/>
        </w:rPr>
        <w:t>citation).</w:t>
      </w:r>
      <w:r>
        <w:rPr>
          <w:rFonts w:eastAsia="Times New Roman" w:hint="eastAsia" w:ascii="Times New Roman" w:hAnsi="Times New Roman"/>
        </w:rPr>
        <w:t xml:space="preserve"> </w:t>
      </w:r>
      <w:r>
        <w:rPr>
          <w:rFonts w:eastAsia="Times New Roman" w:hint="eastAsia" w:ascii="Times New Roman" w:hAnsi="Times New Roman"/>
        </w:rPr>
        <w:t>The other signature,</w:t>
      </w:r>
      <w:r>
        <w:rPr>
          <w:rFonts w:eastAsia="Times New Roman" w:ascii="Times New Roman" w:hAnsi="Times New Roman"/>
        </w:rPr>
        <w:t xml:space="preserve"> InsDel_Nβ </w:t>
      </w:r>
      <w:r>
        <w:rPr>
          <w:rFonts w:eastAsia="Times New Roman" w:ascii="Times New Roman" w:hAnsi="Times New Roman"/>
        </w:rPr>
        <w:t>occurs</w:t>
      </w:r>
      <w:r>
        <w:rPr>
          <w:rFonts w:eastAsia="Times New Roman" w:ascii="Times New Roman" w:hAnsi="Times New Roman"/>
        </w:rPr>
        <w:t xml:space="preserve"> </w:t>
      </w:r>
      <w:r>
        <w:rPr>
          <w:rFonts w:eastAsia="Times New Roman" w:ascii="Times New Roman" w:hAnsi="Times New Roman"/>
        </w:rPr>
        <w:t>in</w:t>
      </w:r>
      <w:r>
        <w:rPr>
          <w:rFonts w:eastAsia="Times New Roman" w:ascii="Times New Roman" w:hAnsi="Times New Roman"/>
        </w:rPr>
        <w:t xml:space="preserve"> diverse cancer types </w:t>
      </w:r>
      <w:r>
        <w:rPr>
          <w:rFonts w:eastAsia="Times New Roman" w:ascii="Times New Roman" w:hAnsi="Times New Roman"/>
        </w:rPr>
        <w:t>and is not enriched for tumors with deficient MMR, while signatures InsDel2a,b,c are (Figure 4). &lt;excess deletions arising for polymerase errors not evened out by MMR&gt; deletions and insertions occur, deletions preferentially? Repaired. &gt; While the</w:t>
      </w:r>
      <w:r>
        <w:rPr>
          <w:rFonts w:eastAsia="Times New Roman" w:ascii="Times New Roman" w:hAnsi="Times New Roman"/>
        </w:rPr>
        <w:t xml:space="preserve"> </w:t>
      </w:r>
      <w:r>
        <w:rPr>
          <w:rFonts w:eastAsia="Times New Roman" w:ascii="Times New Roman" w:hAnsi="Times New Roman"/>
        </w:rPr>
        <w:t xml:space="preserve">83-type signature </w:t>
      </w:r>
      <w:r>
        <w:rPr>
          <w:rFonts w:eastAsia="Times New Roman" w:ascii="Times New Roman" w:hAnsi="Times New Roman"/>
        </w:rPr>
        <w:t>ID2 was attributed to both replication slippage and defective MMR &lt;</w:t>
      </w:r>
      <w:r>
        <w:rPr>
          <w:rFonts w:eastAsia="Times New Roman" w:ascii="Times New Roman" w:hAnsi="Times New Roman"/>
        </w:rPr>
        <w:t xml:space="preserve">cite alexandrov 2020&gt;, it appears that that the 89- and 476-type signatures provide some separation between signatures associated with defective MMR (InsDel2a,b,c and InsDe_Nα) and signatures associated with remaining polymerase associated indels that escaped MMR (InsDel_Nβ). &lt;other differences; poportionally more small deletions in InsDelNbeta </w:t>
      </w:r>
      <w:r>
        <w:rPr>
          <w:rFonts w:eastAsia="Times New Roman" w:ascii="Times New Roman" w:hAnsi="Times New Roman"/>
        </w:rPr>
        <w:t>Taken toget</w:t>
      </w:r>
      <w:r>
        <w:rPr>
          <w:rFonts w:eastAsia="Times New Roman" w:ascii="Times New Roman" w:hAnsi="Times New Roman"/>
        </w:rPr>
        <w: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Using unsupervised hierarchical clustering, we grouped mutational signatures into several distinct modules </w:t>
      </w:r>
      <w:r>
        <w:rPr>
          <w:shd w:fill="00FFFF" w:val="clear"/>
        </w:rPr>
        <w:t xml:space="preserve">(Figure </w:t>
      </w:r>
      <w:r>
        <w:rPr>
          <w:rFonts w:eastAsia="Times New Roman" w:hint="eastAsia"/>
          <w:shd w:fill="00FFFF" w:val="clear"/>
        </w:rPr>
        <w:t>4</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was defined by the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w:t>
      </w:r>
      <w:r>
        <w:rPr>
          <w:shd w:fill="FFFF00" w:val="clear"/>
        </w:rPr>
        <w:t xml:space="preserve">GI enriched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Times New Roman" w:hint="eastAsia"/>
        </w:rPr>
        <w:t>4</w:t>
      </w:r>
      <w:r>
        <w:rPr/>
        <w:t xml:space="preserve">, “Lung Tobacco Smoking”). </w:t>
      </w:r>
      <w:r>
        <w:rPr>
          <w:shd w:fill="FFFF00" w:val="clear"/>
        </w:rPr>
        <w:t xml:space="preserve">&lt;add cisplatin here&gt; </w:t>
      </w:r>
      <w:r>
        <w:rPr/>
        <w:t xml:space="preserve">In the gastrointestinal (GI)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Times New Roman"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520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332" r="7605" b="33369"/>
                    <a:stretch>
                      <a:fillRect/>
                    </a:stretch>
                  </pic:blipFill>
                  <pic:spPr bwMode="auto">
                    <a:xfrm>
                      <a:off x="0" y="0"/>
                      <a:ext cx="5247005" cy="485203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fals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4"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false"/>
        <w:spacing w:lineRule="auto" w:line="240" w:before="0" w:after="0"/>
        <w:rPr/>
      </w:pPr>
      <w:r>
        <w:annotationRef/>
      </w:r>
      <w:r>
        <w:rPr>
          <w:rFonts w:eastAsia="宋体" w:cs="Noto Sans Arabic UI" w:ascii="Calibri" w:hAnsi="Calibri"/>
          <w:sz w:val="22"/>
          <w:szCs w:val="22"/>
        </w:rPr>
        <w:t>I update via email.</w:t>
      </w:r>
    </w:p>
  </w:comment>
  <w:comment w:id="1" w:author="Unknown Author" w:date="2026-07-02T20:23:00Z" w:initials="">
    <w:p>
      <w:pPr>
        <w:overflowPunct w:val="false"/>
        <w:spacing w:lineRule="auto" w:line="240" w:before="0" w:after="0"/>
        <w:rPr/>
      </w:pPr>
      <w:r>
        <w:annotationRef/>
      </w:r>
      <w:r>
        <w:rPr>
          <w:rFonts w:eastAsia="宋体" w:cs="Noto Sans Arabic UI" w:ascii="Calibri" w:hAnsi="Calibri"/>
          <w:i/>
          <w:sz w:val="16"/>
          <w:szCs w:val="22"/>
        </w:rPr>
        <w:t>Reply to Mo Liu (05/29/2026, 16:03): "..."</w:t>
      </w:r>
    </w:p>
    <w:p>
      <w:pPr>
        <w:overflowPunct w:val="false"/>
        <w:spacing w:lineRule="auto" w:line="240" w:before="22315" w:after="18556"/>
        <w:rPr/>
      </w:pPr>
      <w:r>
        <w:rPr>
          <w:rFonts w:eastAsia="宋体" w:cs="Noto Sans Arabic UI" w:ascii="Calibri" w:hAnsi="Calibri"/>
          <w:sz w:val="20"/>
          <w:szCs w:val="20"/>
        </w:rPr>
        <w:t>Hi Steve,</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I summarized the topographical annotations available on the COSMIC website.</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I’ve summarized the information in the attached file.</w:t>
      </w:r>
    </w:p>
    <w:p>
      <w:pPr>
        <w:overflowPunct w:val="false"/>
        <w:spacing w:lineRule="auto" w:line="240" w:before="22315" w:after="18556"/>
        <w:rPr/>
      </w:pPr>
      <w:r>
        <w:rPr>
          <w:rFonts w:eastAsia="宋体" w:cs="Noto Sans Arabic UI" w:ascii="Calibri" w:hAnsi="Calibri"/>
          <w:sz w:val="20"/>
          <w:szCs w:val="20"/>
        </w:rPr>
        <w:t>Please let me know if you need more information.</w:t>
      </w:r>
    </w:p>
    <w:p>
      <w:pPr>
        <w:overflowPunct w:val="false"/>
        <w:spacing w:lineRule="auto" w:line="240" w:before="22315" w:after="18556"/>
        <w:rPr/>
      </w:pPr>
      <w:r>
        <w:rPr>
          <w:rFonts w:eastAsia="宋体" w:cs="Noto Sans Arabic UI" w:ascii="Calibri" w:hAnsi="Calibri"/>
          <w:sz w:val="20"/>
          <w:szCs w:val="20"/>
        </w:rPr>
        <w:t>Thanks,Mo</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See COSMICv3.6 ID topographical annotation.xlsx</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14:paraId="04000000">
      <w:pPr>
        <w:overflowPunct w:val="false"/>
        <w:spacing w:lineRule="auto" w:line="240" w:before="22315" w:after="18556"/>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3032</TotalTime>
  <Application>LibreOffice/26.2.4.2$Linux_X86_64 LibreOffice_project/620$Build-2</Application>
  <AppVersion>15.0000</AppVersion>
  <Pages>41</Pages>
  <Words>9699</Words>
  <Characters>58152</Characters>
  <CharactersWithSpaces>67513</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2026-07-31T07:22:00Z</dcterms:created>
  <dc:creator>Mo Liu</dc:creator>
  <dc:description/>
  <dc:language>en-US</dc:language>
  <cp:lastModifiedBy/>
  <cp:lastPrinted>2025-06-06T09:23:00Z</cp:lastPrinted>
  <dcterms:modified xsi:type="dcterms:W3CDTF">2026-08-13T11:28:06Z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