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Times New Roman"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Heading1"/>
        <w:spacing w:before="0" w:after="120"/>
        <w:rPr>
          <w:rFonts w:ascii="Google Sans;Roboto;Arial;sans-s" w:hAnsi="Google Sans;Roboto;Arial;sans-s" w:eastAsia="Times New Roman"/>
          <w:sz w:val="20"/>
          <w:szCs w:val="20"/>
        </w:rPr>
      </w:pPr>
      <w:r>
        <w:rPr>
          <w:rFonts w:eastAsia="Times New Roman" w:ascii="Google Sans;Roboto;Arial;sans-s" w:hAnsi="Google Sans;Roboto;Arial;sans-s"/>
          <w:sz w:val="20"/>
          <w:szCs w:val="20"/>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Times New Roman"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Times New Roman"/>
          <w:b/>
          <w:bCs/>
        </w:rPr>
      </w:pPr>
      <w:r>
        <w:rPr>
          <w:rFonts w:eastAsia="Times New Roman" w:hint="eastAsia"/>
          <w:b/>
          <w:bCs/>
        </w:rPr>
        <w:t>Graphical Abstract</w:t>
      </w:r>
    </w:p>
    <w:p>
      <w:pPr>
        <w:pStyle w:val="Normal"/>
        <w:spacing w:lineRule="auto" w:line="360"/>
        <w:ind w:hanging="0"/>
        <w:rPr>
          <w:rFonts w:eastAsia="Times New Roman"/>
          <w:b/>
          <w:bCs/>
        </w:rPr>
      </w:pPr>
      <w:r>
        <w:rPr>
          <w:rFonts w:eastAsia="Times New Roman"/>
          <w:b/>
          <w:bCs/>
        </w:rPr>
      </w:r>
    </w:p>
    <w:p>
      <w:pPr>
        <w:pStyle w:val="Normal"/>
        <w:spacing w:lineRule="auto" w:line="360"/>
        <w:ind w:hanging="0"/>
        <w:rPr>
          <w:rFonts w:eastAsia="Times New Roman"/>
          <w:b/>
          <w:bCs/>
        </w:rPr>
      </w:pPr>
      <w:r>
        <w:rPr>
          <w:rFonts w:eastAsia="Times New Roman"/>
          <w:b/>
          <w:bCs/>
        </w:rPr>
        <w:t>Highlights</w:t>
      </w:r>
    </w:p>
    <w:p>
      <w:pPr>
        <w:pStyle w:val="Normal"/>
        <w:numPr>
          <w:ilvl w:val="0"/>
          <w:numId w:val="3"/>
        </w:numPr>
        <w:spacing w:lineRule="auto" w:line="360"/>
        <w:rPr>
          <w:rFonts w:eastAsia="Times New Roman"/>
        </w:rPr>
      </w:pPr>
      <w:r>
        <w:rPr>
          <w:rFonts w:eastAsia="Times New Roman"/>
        </w:rPr>
        <w:t>Repertoire of indel signatures across 6,975 genomes in 3 indel classification schemes</w:t>
      </w:r>
    </w:p>
    <w:p>
      <w:pPr>
        <w:pStyle w:val="Normal"/>
        <w:numPr>
          <w:ilvl w:val="0"/>
          <w:numId w:val="3"/>
        </w:numPr>
        <w:spacing w:lineRule="auto" w:line="360"/>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pPr>
        <w:pStyle w:val="Normal"/>
        <w:numPr>
          <w:ilvl w:val="0"/>
          <w:numId w:val="3"/>
        </w:numPr>
        <w:spacing w:lineRule="auto" w:line="360"/>
        <w:rPr>
          <w:rFonts w:eastAsia="Times New Roman"/>
        </w:rPr>
      </w:pPr>
      <w:r>
        <w:rPr>
          <w:rFonts w:eastAsia="Times New Roman"/>
        </w:rPr>
        <w:t>Integrative topography across transcription, replication, and genic regions</w:t>
      </w:r>
    </w:p>
    <w:p>
      <w:pPr>
        <w:pStyle w:val="BodyText"/>
        <w:numPr>
          <w:ilvl w:val="0"/>
          <w:numId w:val="3"/>
        </w:numPr>
        <w:rPr/>
      </w:pPr>
      <w:r>
        <w:rPr/>
        <w:t>Website and software for signature browsing and matrix generation from VCF files</w:t>
      </w:r>
    </w:p>
    <w:p>
      <w:pPr>
        <w:pStyle w:val="BodyText"/>
        <w:ind w:hanging="0" w:start="720"/>
        <w:rPr/>
      </w:pPr>
      <w:r>
        <w:rPr/>
        <w:drawing>
          <wp:anchor distT="0" distB="0" distL="0" distR="0" simplePos="0" relativeHeight="8" behindDoc="0" locked="0" layoutInCell="0" allowOverlap="1">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5715000"/>
                    </a:xfrm>
                    <a:prstGeom prst="rect">
                      <a:avLst/>
                    </a:prstGeom>
                    <a:noFill/>
                  </pic:spPr>
                </pic:pic>
              </a:graphicData>
            </a:graphic>
          </wp:anchor>
        </w:drawing>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Mutational signature research has tended to focus less on indel rather than SBS signatures, and symptomatic of this COSMIC v3.</w:t>
      </w:r>
      <w:r>
        <w:rPr>
          <w:rFonts w:eastAsia="Times New Roman" w:hint="eastAsia"/>
        </w:rPr>
        <w:t>6</w:t>
      </w:r>
      <w:r>
        <w:rP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fill="00FFFF" w:val="clear"/>
        </w:rPr>
        <w:t>(</w:t>
      </w:r>
      <w:r>
        <w:rPr>
          <w:rFonts w:eastAsia="Times New Roman"/>
          <w:shd w:fill="00FFFF" w:val="clear"/>
        </w:rPr>
        <w:t>https://indelsig.net</w:t>
      </w:r>
      <w:r>
        <w:rPr>
          <w:rFonts w:eastAsia="Times New Roman"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Times New Roman"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00FF00" w:val="clear"/>
        </w:rPr>
        <w:t>)</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rPr/>
        <w:t xml:space="preserve"> were discovered. Further evidence of their robustness derives from the identification of tumor spectra dominated by a single signature. For</w:t>
      </w:r>
      <w:r>
        <w:rPr>
          <w:rFonts w:eastAsia="Times New Roman" w:hint="eastAsia"/>
        </w:rPr>
        <w:t xml:space="preserve"> 35 </w:t>
      </w:r>
      <w:r>
        <w:rPr/>
        <w:t>of the 44 signatures, there were tumor spectra with cosine similarity &gt;</w:t>
      </w:r>
      <w:r>
        <w:rPr>
          <w:rFonts w:eastAsia="Times New Roman" w:hint="eastAsia"/>
        </w:rPr>
        <w:t xml:space="preserve"> 0.95 </w:t>
      </w:r>
      <w:r>
        <w:rP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rPr/>
        <w:t>(Koh et al. 2025)</w:t>
      </w:r>
      <w:bookmarkEnd w:id="14"/>
      <w:r>
        <w:rPr/>
        <w:t xml:space="preserve"> and 26 were not previously described to our knowlege (Table 1).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qtuc1qdBuTrl"/>
      <w:r>
        <w:rPr/>
        <w:t>(Jin et al. 2024)</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Times New Roman"/>
          <w:shd w:fill="00FFFF" w:val="clear"/>
        </w:rPr>
        <w:t>https://indelsig.net/</w:t>
      </w:r>
      <w:r>
        <w:rPr>
          <w:shd w:fill="00FFFF" w:val="clear"/>
        </w:rPr>
        <w:t>.</w:t>
      </w:r>
    </w:p>
    <w:p>
      <w:pPr>
        <w:pStyle w:val="normalfirst"/>
        <w:ind w:firstLine="720"/>
        <w:rPr/>
      </w:pPr>
      <w:r>
        <w:rPr/>
        <w:t xml:space="preserve">In several cases, the new indel classifications systems were able to distinguish signatures that the older system merged. This is clearest for deletions of single T bases from tracts of </w:t>
      </w:r>
      <w:r>
        <w:rPr>
          <w:rFonts w:eastAsia="Liberation Serif" w:cs="Liberation Serif" w:ascii="Liberation Serif" w:hAnsi="Liberation Serif"/>
        </w:rPr>
        <w:t>≥</w:t>
      </w:r>
      <w:r>
        <w:rP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8 Ts. However, they are distinguished by InsDel2a’s preference for flanking A bases and InsDel1c’s preference for flanking C bases.</w:t>
      </w:r>
      <w:r>
        <w:rP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fill="00FFFF" w:val="clear"/>
        </w:rPr>
        <w:t>(Figure 4, Figure S1).</w:t>
      </w:r>
    </w:p>
    <w:p>
      <w:pPr>
        <w:pStyle w:val="normalfirst"/>
        <w:ind w:firstLine="720"/>
        <w:rPr/>
      </w:pPr>
      <w:r>
        <w:rP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fill="00FFFF" w:val="clear"/>
        </w:rPr>
        <w:t>(Table S9).</w:t>
      </w:r>
    </w:p>
    <w:p>
      <w:pPr>
        <w:pStyle w:val="normalfirst"/>
        <w:rPr/>
      </w:pPr>
      <w:r>
        <w:rPr>
          <w:rFonts w:eastAsia="Times New Roman" w:hint="eastAsia"/>
          <w:b/>
          <w:bCs/>
          <w:i/>
          <w:iCs/>
        </w:rPr>
        <w:t>Two signatures in which the 89-type classification misses clear differences</w:t>
      </w:r>
    </w:p>
    <w:p>
      <w:pPr>
        <w:pStyle w:val="normalfirst"/>
        <w:rPr/>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cs="DejaVu Sans" w:hint="eastAsia" w:ascii="DejaVu Sans" w:hAnsi="DejaVu Sans"/>
        </w:rPr>
        <w:t>→</w:t>
      </w:r>
      <w:r>
        <w:rPr>
          <w:rFonts w:eastAsia="Times New Roman" w:hint="eastAsia"/>
        </w:rPr>
        <w:t>AA), while InsDel13 has deletions of T from ATTA (ATTA</w:t>
      </w:r>
      <w:r>
        <w:rPr>
          <w:rFonts w:cs="DejaVu Sans" w:hint="eastAsia" w:ascii="DejaVu Sans" w:hAnsi="DejaVu Sans"/>
        </w:rPr>
        <w:t>→</w:t>
      </w:r>
      <w:r>
        <w:rPr>
          <w:rFonts w:eastAsia="Times New Roman" w:hint="eastAsia"/>
        </w:rPr>
        <w:t>ATA,</w:t>
      </w:r>
      <w:r>
        <w:rPr>
          <w:rFonts w:eastAsia="Times New Roman" w:hint="eastAsia"/>
          <w:shd w:fill="00FFFF" w:val="clear"/>
        </w:rPr>
        <w:t xml:space="preserve"> Figure S2A)</w:t>
      </w:r>
      <w:r>
        <w:rPr/>
        <w:t>.</w:t>
      </w:r>
      <w:r>
        <w:rPr>
          <w:rFonts w:eastAsia="Times New Roman"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Times New Roman" w:hint="eastAsia"/>
        </w:rPr>
        <w:t>ACCG) and insertion of a one T next to an isolated T (e.g. GTG</w:t>
      </w:r>
      <w:r>
        <w:rPr>
          <w:rFonts w:cs="DejaVu Sans" w:hint="eastAsia" w:ascii="DejaVu Sans" w:hAnsi="DejaVu Sans"/>
        </w:rPr>
        <w:t>→</w:t>
      </w:r>
      <w:r>
        <w:rPr>
          <w:rFonts w:eastAsia="Times New Roman" w:hint="eastAsia"/>
        </w:rPr>
        <w:t>GTTG). InsDel16 has insertion of one C between non-Cs (e.g. AT</w:t>
      </w:r>
      <w:r>
        <w:rPr>
          <w:rFonts w:cs="DejaVu Sans" w:hint="eastAsia" w:ascii="DejaVu Sans" w:hAnsi="DejaVu Sans"/>
        </w:rPr>
        <w:t>→</w:t>
      </w:r>
      <w:r>
        <w:rPr>
          <w:rFonts w:eastAsia="Times New Roman" w:hint="eastAsia"/>
        </w:rPr>
        <w:t>ACT), and insertion of one T between non-Ts (e.g. AG</w:t>
      </w:r>
      <w:r>
        <w:rPr>
          <w:rFonts w:cs="DejaVu Sans" w:hint="eastAsia" w:ascii="DejaVu Sans" w:hAnsi="DejaVu Sans"/>
        </w:rPr>
        <w:t>→</w:t>
      </w:r>
      <w:r>
        <w:rPr>
          <w:rFonts w:eastAsia="Times New Roman" w:hint="eastAsia"/>
        </w:rPr>
        <w:t xml:space="preserve">ATG, </w:t>
      </w:r>
      <w:r>
        <w:rPr>
          <w:rFonts w:eastAsia="Times New Roman" w:hint="eastAsia"/>
          <w:shd w:fill="00FFFF" w:val="clear"/>
        </w:rPr>
        <w:t>Figure S2B</w:t>
      </w:r>
      <w:r>
        <w:rPr/>
        <w:t xml:space="preserve">). Again, </w:t>
      </w:r>
      <w:r>
        <w:rPr>
          <w:rFonts w:eastAsia="Times New Roman" w:hint="eastAsia"/>
        </w:rPr>
        <w:t>the 89-type system does not capture these differences, while the 83 and 476-type systems do.</w:t>
      </w:r>
    </w:p>
    <w:p>
      <w:pPr>
        <w:pStyle w:val="normalfirst"/>
        <w:rPr>
          <w:b/>
          <w:bCs/>
          <w:i/>
          <w:iCs/>
        </w:rPr>
      </w:pPr>
      <w:r>
        <w:rPr>
          <w:b/>
          <w:bCs/>
          <w:i/>
          <w:iCs/>
        </w:rPr>
        <w:t>Clarified signatures of aristolochic-acid-induced deletions</w:t>
      </w:r>
    </w:p>
    <w:p>
      <w:pPr>
        <w:pStyle w:val="normalfirst"/>
        <w:rPr>
          <w:b/>
          <w:bCs/>
          <w:i/>
          <w:iCs/>
        </w:rPr>
      </w:pPr>
      <w:r>
        <w:rPr/>
        <w:t xml:space="preserve">InsDel23 is caused by aristolochic acid (AA) exposure and the 476-type signatures shows that most AA deletions involve 5’TA3’/3’AT5’ → A/T (Figure 1, and see https://indelsig.net). This pattern is not visible in either the 83-type or 89-type classification </w:t>
      </w:r>
      <w:r>
        <w:rPr>
          <w:shd w:fill="FFFF00" w:val="clear"/>
        </w:rPr>
        <w:t>XXXXXX  Do the detailed spectrum of the exemplar XXXX</w:t>
      </w:r>
      <w:r>
        <w:rPr/>
        <w:t xml:space="preserve">  One might speculate that this pattern is related to the adenine adducts caused by AA, which are also thought to be responsible for the predominance of A</w:t>
      </w:r>
      <w:r>
        <w:rPr>
          <w:rFonts w:cs="DejaVu Sans" w:hint="eastAsia" w:ascii="DejaVu Sans" w:hAnsi="DejaVu Sans"/>
        </w:rPr>
        <w:t>→</w:t>
      </w:r>
      <w:r>
        <w:rPr/>
        <w:t xml:space="preserve">T single base substitutions in the AA SBS signature and for the frequent involvement of adenines in the AA DBS signature. </w:t>
      </w:r>
    </w:p>
    <w:p>
      <w:pPr>
        <w:pStyle w:val="NormalWeb"/>
        <w:ind w:hanging="0"/>
        <w:rPr/>
      </w:pPr>
      <w:r>
        <w:rPr>
          <w:rFonts w:eastAsia="Times New Roman"/>
          <w:b/>
          <w:bCs/>
          <w:i/>
          <w:iCs/>
        </w:rPr>
        <w:t>APOBEC3A activity and InsDel_Aβ</w:t>
      </w:r>
      <w:r>
        <w:rPr>
          <w:rFonts w:eastAsia="Times New Roman" w:hint="eastAsia"/>
          <w:b/>
          <w:bCs/>
          <w:i/>
          <w:iCs/>
        </w:rPr>
        <w:t xml:space="preserve"> </w:t>
      </w:r>
    </w:p>
    <w:p>
      <w:pPr>
        <w:pStyle w:val="NormalWeb"/>
        <w:ind w:hanging="0"/>
        <w:rPr/>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fill="00FFFF" w:val="clear"/>
        </w:rPr>
        <w:t>F</w:t>
      </w:r>
      <w:r>
        <w:rPr>
          <w:rFonts w:eastAsia="Times New Roman"/>
          <w:shd w:fill="00FFFF" w:val="clear"/>
        </w:rPr>
        <w:t>i</w:t>
      </w:r>
      <w:r>
        <w:rPr>
          <w:rFonts w:eastAsia="Times New Roman" w:hint="eastAsia"/>
          <w:shd w:fill="00FFFF" w:val="clear"/>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cs="DejaVu Sans" w:hint="eastAsia" w:ascii="DejaVu Sans" w:hAnsi="DejaVu Sans"/>
        </w:rPr>
        <w:t>→</w:t>
      </w:r>
      <w:r>
        <w:rPr>
          <w:rFonts w:eastAsia="Times New Roman" w:hint="eastAsia"/>
        </w:rPr>
        <w:t>TTT)</w:t>
      </w:r>
      <w:r>
        <w:rPr>
          <w:rFonts w:eastAsia="Times New Roman"/>
        </w:rPr>
        <w:t xml:space="preserve"> and SBS13 </w:t>
      </w:r>
      <w:r>
        <w:rPr>
          <w:rFonts w:eastAsia="Times New Roman" w:hint="eastAsia"/>
        </w:rPr>
        <w:t>(TCA</w:t>
      </w:r>
      <w:r>
        <w:rPr>
          <w:rFonts w:cs="DejaVu Sans" w:hint="eastAsia" w:ascii="DejaVu Sans" w:hAnsi="DejaVu Sans"/>
        </w:rPr>
        <w:t>→</w:t>
      </w:r>
      <w:r>
        <w:rPr>
          <w:rFonts w:eastAsia="Times New Roman" w:hint="eastAsia"/>
        </w:rPr>
        <w:t>TGA and TCT</w:t>
      </w:r>
      <w:r>
        <w:rPr>
          <w:rFonts w:cs="DejaVu Sans" w:hint="eastAsia" w:ascii="DejaVu Sans" w:hAnsi="DejaVu Sans"/>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rP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fill="00FFFF" w:val="clear"/>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pPr>
        <w:pStyle w:val="normalfirst"/>
        <w:rPr>
          <w:shd w:fill="FFFF00" w:val="clear"/>
        </w:rPr>
      </w:pPr>
      <w:r>
        <w:rPr>
          <w:rFonts w:eastAsia="Times New Roman" w:hint="eastAsia"/>
          <w:b/>
          <w:bCs/>
          <w:i/>
          <w:iCs/>
        </w:rPr>
        <w:t>MSS tumors: single-thymine indels in poly-T tracts</w:t>
      </w:r>
    </w:p>
    <w:p>
      <w:pPr>
        <w:pStyle w:val="BodyText"/>
        <w:rPr/>
      </w:pPr>
      <w:r>
        <w:rPr>
          <w:rFonts w:eastAsia="Times New Roman"/>
        </w:rPr>
        <w:t xml:space="preserve">De-novo signature discovery using both HDP- and NMF in all 3 indel signature classifications identified signatures with similar proportions of deletions and insertions of a single thymine in poly-T tracts. These occur almost exclusively in MSS tumors. We termed these ID_N (the 83-type signature) plus InsDel_Nα and InsDel_Nβ (the 89- and 476-type signatures). Previous analysis in the 83-type classification allocated insertions and deletions of single thymines in poly-T tracts to separate signatures 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We first focus on</w:t>
      </w:r>
      <w:r>
        <w:rPr>
          <w:rFonts w:eastAsia="Times New Roman" w:hint="eastAsia"/>
        </w:rPr>
        <w:t xml:space="preserve"> </w:t>
      </w:r>
      <w:r>
        <w:rPr>
          <w:rFonts w:eastAsia="Times New Roman"/>
        </w:rPr>
        <w:t xml:space="preserve">InsDel_Nβ which occurs in 2,629 of 6,770 MSS tumors (39%) in diverse cancer types and in only 9 of 176 MSI-H tumors </w:t>
      </w:r>
      <w:r>
        <w:rPr>
          <w:rFonts w:eastAsia="Times New Roman"/>
          <w:shd w:fill="00FFFF" w:val="clear"/>
        </w:rPr>
        <w:t>(5%, Table S10)</w:t>
      </w:r>
      <w:r>
        <w:rPr>
          <w:shd w:fill="00FFFF" w:val="clear"/>
        </w:rPr>
        <w:t xml:space="preserve">. </w:t>
      </w:r>
      <w:r>
        <w:rPr>
          <w:shd w:fill="auto" w:val="clear"/>
        </w:rPr>
        <w:t>Roughly half the tumors with InsDel_N</w:t>
      </w:r>
      <w:r>
        <w:rPr>
          <w:rFonts w:eastAsia="Times New Roman"/>
          <w:shd w:fill="auto" w:val="clear"/>
        </w:rPr>
        <w:t xml:space="preserve">β also have InsDel1a, and InsDel1a also occurs without InsDel_Nβ in 2,596 MSS tumors (39%) and 35 MSI-H tumors (20%). Thus, many MSS tumors have roughly equal proportions of thymine deletions and insertion in long poly-T tracts (InsDel_Nβ ), but other tumors have varying proportions of additional insertions (InsDel_1a), and some tumor spectra are completely dominated by these insertions. The other signature with approximately equal proportions of insertions and deletions of a thymine in a poly-T tract, InsDel_Nα, is rare in both MSS and MSI-H tumors, occurring in only 55 of 6,770 MSS tumors and 2 of 175 MSI-H tumors. </w:t>
      </w:r>
    </w:p>
    <w:p>
      <w:pPr>
        <w:pStyle w:val="normalfirst"/>
        <w:rPr>
          <w:rFonts w:eastAsia="Times New Roman"/>
          <w:b/>
          <w:bCs/>
          <w:i/>
          <w:iCs/>
        </w:rPr>
      </w:pPr>
      <w:r>
        <w:rPr>
          <w:rFonts w:eastAsia="Times New Roman"/>
          <w:b/>
          <w:bCs/>
          <w:i/>
          <w:iCs/>
        </w:rPr>
        <w:t>Indels in poly-T tracts and microsatellite contraction in MSI-H tumors</w:t>
      </w:r>
    </w:p>
    <w:p>
      <w:pPr>
        <w:pStyle w:val="normalfirst"/>
        <w:rPr>
          <w:rFonts w:eastAsia="Times New Roman"/>
        </w:rPr>
      </w:pPr>
      <w:r>
        <w:rPr>
          <w:rFonts w:eastAsia="Times New Roman"/>
        </w:rPr>
        <w:t xml:space="preserve">In addition to enrichment for InsDel2a, 2b, and 2b, which represent single-thymine deletions from poly-T tracts, MSI-H tumors were notably enriched for signatures InsDel7, D, and J </w:t>
      </w:r>
      <w:r>
        <w:rPr>
          <w:rFonts w:eastAsia="Times New Roman"/>
          <w:shd w:fill="00FFFF" w:val="clear"/>
        </w:rPr>
        <w:t>(Figure 4a)</w:t>
      </w:r>
      <w:r>
        <w:rPr>
          <w:rFonts w:eastAsia="Times New Roman"/>
        </w:rPr>
        <w:t>. InsDel7, like InsDel2a/b/c, is dominated by single-thymine deletions from poly-T tracts, but with a distinct distribution of sequences flanking the poly-T tract. InsDel_J consists almost entirely of deletions of single dinucleotides from a dinucleotide microsatellites, e.g. deletion of CA from (CA)</w:t>
      </w:r>
      <w:r>
        <w:rPr>
          <w:rFonts w:eastAsia="Times New Roman"/>
          <w:vertAlign w:val="superscript"/>
        </w:rPr>
        <w:t>5</w:t>
      </w:r>
      <w:r>
        <w:rPr>
          <w:rFonts w:eastAsia="Times New Roman"/>
        </w:rPr>
        <w:t>, or deletion of GT from (GT)</w:t>
      </w:r>
      <w:r>
        <w:rPr>
          <w:rFonts w:eastAsia="Times New Roman"/>
          <w:vertAlign w:val="superscript"/>
        </w:rPr>
        <w:t>8</w:t>
      </w:r>
      <w:r>
        <w:rPr>
          <w:rFonts w:eastAsia="Times New Roman"/>
        </w:rPr>
        <w:t xml:space="preserve"> [see also entries for the 476-indel-type category Del2:U2:R(5,) in </w:t>
      </w:r>
      <w:r>
        <w:rPr>
          <w:rFonts w:eastAsia="Times New Roman"/>
          <w:shd w:fill="00FFFF" w:val="clear"/>
        </w:rPr>
        <w:t>Table S1]</w:t>
      </w:r>
      <w:r>
        <w:rPr>
          <w:rFonts w:eastAsia="Times New Roman"/>
        </w:rPr>
        <w:t xml:space="preserve">. Another signature, InsDel1a, which is dominated by single-thymine deletions into poly-T tracts occurred in 20% of MSI-H tumors. This is a reasonably high frequency, though substantially less than the 38% of MSS tumors </w:t>
      </w:r>
      <w:r>
        <w:rPr>
          <w:rFonts w:eastAsia="Times New Roman"/>
          <w:shd w:fill="00FFFF" w:val="clear"/>
        </w:rPr>
        <w:t>(Table S10).</w:t>
      </w:r>
    </w:p>
    <w:p>
      <w:pPr>
        <w:pStyle w:val="Heading2"/>
        <w:rPr/>
      </w:pPr>
      <w:r>
        <w:rPr/>
        <w:t>The new indel classifications reveal an accurate signature of RNase H2 deficiency</w:t>
      </w:r>
    </w:p>
    <w:p>
      <w:pPr>
        <w:pStyle w:val="Normal"/>
        <w:ind w:hanging="0"/>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rPr/>
        <w:t>(Reijns et al. 2022; Koh et al. 2025; Jin et al. 2024)</w:t>
      </w:r>
      <w:bookmarkEnd w:id="20"/>
      <w:r>
        <w:rPr/>
        <w:t xml:space="preserve">. However, we detected a new indel signature, InsDel_F, which better corresponds to RNase H2 deficiency experimental data than ID4 </w:t>
      </w:r>
      <w:r>
        <w:rPr>
          <w:shd w:fill="00FFFF" w:val="clear"/>
        </w:rPr>
        <w:t>(Figures</w:t>
      </w:r>
      <w:r>
        <w:rPr>
          <w:rFonts w:eastAsia="Times New Roman" w:hint="eastAsia"/>
          <w:shd w:fill="00FFFF" w:val="clear"/>
        </w:rPr>
        <w:t xml:space="preserve"> 6, S5</w:t>
      </w:r>
      <w:r>
        <w:rPr>
          <w:shd w:fill="00FFFF"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fill="00FFFF" w:val="clear"/>
        </w:rPr>
        <w:t>Figure S5</w:t>
      </w:r>
      <w:r>
        <w:rPr>
          <w:rFonts w:eastAsia="Times New Roman" w:hint="eastAsia"/>
        </w:rPr>
        <w:t>)</w:t>
      </w:r>
      <w:r>
        <w:rPr/>
        <w:t>. Like InsDel_F, these cell-line spectra have 2-base deletions with microhomology and 2-base deletions 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ind w:hanging="0"/>
        <w:rPr/>
      </w:pPr>
      <w:r>
        <w:rPr/>
        <w:t>We further analyzed the correlations between the i</w:t>
      </w:r>
      <w:r>
        <w:rPr>
          <w:rFonts w:hint="eastAsia"/>
        </w:rPr>
        <w:t>ndel</w:t>
      </w:r>
      <w:r>
        <w:rPr/>
        <w:t xml:space="preserve"> signature activities we derived and the SBS signature activities from </w:t>
      </w:r>
      <w:bookmarkStart w:id="21" w:name="ZOTERO_BREF_EyljJoO9yp1B"/>
      <w:r>
        <w:rPr/>
        <w:t>(Degasperi et al. 2022)</w:t>
      </w:r>
      <w:bookmarkEnd w:id="21"/>
      <w:r>
        <w:rPr/>
        <w:t xml:space="preserve"> (</w:t>
      </w:r>
      <w:r>
        <w:rPr>
          <w:shd w:fill="00FFFF" w:val="clear"/>
        </w:rPr>
        <w:t>Tables S11, S12</w:t>
      </w:r>
      <w:r>
        <w:rP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fill="00FFFF" w:val="clear"/>
        </w:rPr>
        <w:t xml:space="preserve">(Figure </w:t>
      </w:r>
      <w:r>
        <w:rPr>
          <w:rFonts w:eastAsia="Times New Roman" w:hint="eastAsia"/>
          <w:shd w:fill="00FFFF" w:val="clear"/>
        </w:rPr>
        <w:t>4B</w:t>
      </w:r>
      <w:r>
        <w:rPr>
          <w:shd w:fill="00FFFF" w:val="clear"/>
        </w:rPr>
        <w:t>)</w:t>
      </w:r>
      <w:r>
        <w:rPr/>
        <w:t>. The APOBEC-related cluster includes SBS2 and SBS13 and sho</w:t>
      </w:r>
      <w:r>
        <w:rPr>
          <w:rFonts w:eastAsia="Times New Roman" w:hint="eastAsia"/>
        </w:rPr>
        <w:t>wed</w:t>
      </w:r>
      <w:r>
        <w:rP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rPr/>
        <w:t xml:space="preserve">) gene had strong links between SBS signature SBS10a and indel signature InsDel1b and InsDel_K. Additional analysis of tumor somatic mutations confirmed that these signatures are associated with dysfunctional </w:t>
      </w:r>
      <w:r>
        <w:rPr>
          <w:i/>
          <w:iCs/>
        </w:rPr>
        <w:t>POLE</w:t>
      </w:r>
      <w:r>
        <w:rPr/>
        <w:t xml:space="preserve"> proofreading plus, in some tumors, mismatch repair deficiency (</w:t>
      </w:r>
      <w:r>
        <w:rPr>
          <w:shd w:fill="00FFFF" w:val="clear"/>
        </w:rPr>
        <w:t>Table S9 &lt;add hypermutator info to legend&gt;</w:t>
      </w:r>
      <w:r>
        <w:rPr/>
        <w:t>).</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rPr/>
        <w:t xml:space="preserve">, “MMR defects”). Another notable group included InsDel_B, InsDel5a, and InsDel5b, which co-occurred with liver-cancer associated SBS signatures SBS12 and SBS16. </w:t>
      </w:r>
    </w:p>
    <w:p>
      <w:pPr>
        <w:pStyle w:val="Normal"/>
        <w:rPr/>
      </w:pPr>
      <w:r>
        <w:rPr/>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GI enriched cluster. In contrast, InsDel1b was linked to </w:t>
      </w:r>
      <w:r>
        <w:rPr>
          <w:i/>
          <w:iCs/>
        </w:rPr>
        <w:t>POLE</w:t>
      </w:r>
      <w:r>
        <w:rPr/>
        <w:t xml:space="preserve"> proofreading errors and InsDel1c was associated with SBS liver cancer signatures SBS12 and SBS16.</w:t>
      </w:r>
    </w:p>
    <w:p>
      <w:pPr>
        <w:pStyle w:val="Normal"/>
        <w:rPr/>
      </w:pPr>
      <w:r>
        <w:rP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rPr/>
        <w:t xml:space="preserve">, “Tobacco Smoking”) </w:t>
      </w:r>
      <w:bookmarkStart w:id="22" w:name="ZOTERO_BREF_PpR8PYcxNNRP"/>
      <w:r>
        <w:rPr/>
        <w:t>(Lawson et al. 2020)</w:t>
      </w:r>
      <w:bookmarkEnd w:id="22"/>
      <w:r>
        <w:rP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fill="00FFFF" w:val="clear"/>
        </w:rPr>
        <w:t>&lt;what is the reference for this&gt;</w:t>
      </w:r>
      <w:r>
        <w:rP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rPr/>
        <w:t xml:space="preserve">). </w:t>
      </w:r>
    </w:p>
    <w:p>
      <w:pPr>
        <w:pStyle w:val="Heading2"/>
        <w:rPr/>
      </w:pPr>
      <w:r>
        <w:rPr>
          <w:rFonts w:hint="eastAsia"/>
        </w:rPr>
        <w:t>Topography of indel mutational signatures &lt;</w:t>
      </w:r>
      <w:r>
        <w:rPr>
          <w:rFonts w:hint="eastAsia"/>
          <w:shd w:fill="FF0000" w:val="clear"/>
        </w:rPr>
        <w:t>STEVE REVIEW</w:t>
      </w:r>
      <w:r>
        <w:rPr>
          <w:rFonts w:hint="eastAsia"/>
        </w:rPr>
        <w:t>&gt;</w:t>
      </w:r>
    </w:p>
    <w:p>
      <w:pPr>
        <w:pStyle w:val="Normal"/>
        <w:ind w:hanging="0"/>
        <w:rPr>
          <w:rFonts w:eastAsia="Times New Roman"/>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fill="00FFFF" w:val="clear"/>
        </w:rPr>
        <w:t>Figure S3</w:t>
      </w:r>
      <w:r>
        <w:rPr>
          <w:rFonts w:eastAsia="宋体" w:hint="eastAsia"/>
          <w:shd w:fill="00FFFF" w:val="clear"/>
        </w:rPr>
        <w:t>A</w:t>
      </w:r>
      <w:r>
        <w:rPr>
          <w:rFonts w:eastAsia="Times New Roman"/>
          <w:shd w:fill="00FFFF" w:val="clear"/>
        </w:rPr>
        <w:t>, Table S13</w:t>
      </w:r>
      <w:r>
        <w:rPr>
          <w:rFonts w:eastAsia="Times New Roman"/>
        </w:rPr>
        <w:t>). Signature</w:t>
      </w:r>
      <w:r>
        <w:rPr/>
        <w:t xml:space="preserv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rPr/>
        <w:t xml:space="preserve"> (topoisomerase-1 </w:t>
      </w:r>
      <w:r>
        <w:rPr>
          <w:rFonts w:eastAsia="Times New Roman" w:hint="eastAsia"/>
        </w:rPr>
        <w:t>[</w:t>
      </w:r>
      <w:r>
        <w:rPr/>
        <w:t>TOP1</w:t>
      </w:r>
      <w:r>
        <w:rPr>
          <w:rFonts w:eastAsia="Times New Roman"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rPr/>
        <w:t>) having enriched mutations on the transcribed strand, and one of them (</w:t>
      </w:r>
      <w:r>
        <w:rPr>
          <w:rFonts w:eastAsia="Times New Roman" w:hint="eastAsia"/>
        </w:rPr>
        <w:t>ID_N</w:t>
      </w:r>
      <w:r>
        <w:rPr/>
        <w:t>) having enriched mutations mainly on the un-transcribed strand. Replication strand asymmetries were observed in 12 out of 33 83</w:t>
      </w:r>
      <w:r>
        <w:rPr>
          <w:rFonts w:hint="eastAsia"/>
        </w:rPr>
        <w:t>-</w:t>
      </w:r>
      <w:r>
        <w:rPr/>
        <w:t>type signatures (Fig</w:t>
      </w:r>
      <w:r>
        <w:rPr>
          <w:rFonts w:eastAsia="Times New Roman"/>
        </w:rPr>
        <w:t xml:space="preserve">ure </w:t>
      </w:r>
      <w:r>
        <w:rPr>
          <w:rFonts w:eastAsia="Times New Roman" w:hint="eastAsia"/>
        </w:rPr>
        <w:t xml:space="preserve">5B, </w:t>
      </w:r>
      <w:r>
        <w:rPr>
          <w:rFonts w:eastAsia="Times New Roman" w:hint="eastAsia"/>
          <w:shd w:fill="00FFFF" w:val="clear"/>
        </w:rPr>
        <w:t>Figure S3B</w:t>
      </w:r>
      <w:r>
        <w:rPr>
          <w:rFonts w:eastAsia="Times New Roman"/>
          <w:shd w:fill="00FFFF" w:val="clear"/>
        </w:rPr>
        <w:t>, Table S13</w:t>
      </w:r>
      <w:r>
        <w:rPr>
          <w:rFonts w:eastAsia="Times New Roman"/>
        </w:rPr>
        <w:t>). A</w:t>
      </w:r>
      <w:r>
        <w:rP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pPr>
        <w:pStyle w:val="Normal"/>
        <w:rPr/>
      </w:pPr>
      <w:r>
        <w:rPr/>
        <w:t>We also examined the mutation enrichment of 83-type signatures in genic and intergenic regions</w:t>
      </w:r>
      <w:r>
        <w:rPr>
          <w:rFonts w:hint="eastAsia"/>
        </w:rPr>
        <w:t xml:space="preserve"> </w:t>
      </w:r>
      <w:r>
        <w:rPr>
          <w:rFonts w:hint="eastAsia"/>
          <w:shd w:fill="00FFFF" w:val="clear"/>
        </w:rPr>
        <w:t>(Figure S3</w:t>
      </w:r>
      <w:r>
        <w:rPr>
          <w:rFonts w:eastAsia="宋体" w:hint="eastAsia"/>
          <w:shd w:fill="00FFFF" w:val="clear"/>
        </w:rPr>
        <w:t>C</w:t>
      </w:r>
      <w:r>
        <w:rPr>
          <w:rFonts w:hint="eastAsia"/>
          <w:shd w:fill="00FFFF" w:val="clear"/>
        </w:rPr>
        <w:t>)</w:t>
      </w:r>
      <w:r>
        <w:rPr>
          <w:shd w:fill="00FFFF" w:val="clear"/>
        </w:rPr>
        <w:t>.</w:t>
      </w:r>
      <w:r>
        <w:rPr/>
        <w:t xml:space="preserve"> Most signatures showed mutation bias towards intergenic regions, while 6 signatures showed enrichment in genic regions</w:t>
      </w:r>
      <w:r>
        <w:rPr>
          <w:rFonts w:hint="eastAsia"/>
        </w:rPr>
        <w:t xml:space="preserve"> (</w:t>
      </w:r>
      <w:r>
        <w:rPr/>
        <w:t xml:space="preserve">Figure </w:t>
      </w:r>
      <w:r>
        <w:rPr>
          <w:rFonts w:eastAsia="Times New Roman" w:hint="eastAsia"/>
        </w:rPr>
        <w:t>5</w:t>
      </w:r>
      <w:r>
        <w:rPr>
          <w:rFonts w:hint="eastAsia"/>
        </w:rPr>
        <w:t>C)</w:t>
      </w:r>
      <w:r>
        <w:rPr/>
        <w:t xml:space="preserve">. Among the 6 signatures, </w:t>
      </w:r>
      <w:r>
        <w:rPr>
          <w:rFonts w:eastAsia="Times New Roman"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Times New Roman" w:hint="eastAsia"/>
        </w:rPr>
        <w:t xml:space="preserve"> and</w:t>
      </w:r>
      <w:r>
        <w:rPr/>
        <w:t xml:space="preserve"> </w:t>
      </w:r>
      <w:r>
        <w:rPr>
          <w:rFonts w:eastAsia="Times New Roman" w:hint="eastAsia"/>
        </w:rPr>
        <w:t xml:space="preserve">ID_F </w:t>
      </w:r>
      <w:r>
        <w:rPr/>
        <w:t>(</w:t>
      </w:r>
      <w:r>
        <w:rPr>
          <w:shd w:fill="00FFFF" w:val="clear"/>
        </w:rPr>
        <w:t>TOP1</w:t>
      </w:r>
      <w:r>
        <w:rP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pPr>
        <w:pStyle w:val="Normal"/>
        <w:rPr/>
      </w:pPr>
      <w:r>
        <w:rPr>
          <w:rFonts w:eastAsia="Times New Roman"/>
        </w:rPr>
        <w:t>The effect of DNA replication timing was also observed in man</w:t>
      </w:r>
      <w:r>
        <w:rPr/>
        <w:t>y 83-type signatures</w:t>
      </w:r>
      <w:r>
        <w:rPr>
          <w:rFonts w:hint="eastAsia"/>
        </w:rPr>
        <w:t xml:space="preserve"> </w:t>
      </w:r>
      <w:r>
        <w:rPr>
          <w:rFonts w:eastAsia="Times New Roman" w:hint="eastAsia"/>
        </w:rPr>
        <w:t xml:space="preserve">(Figure 5D, </w:t>
      </w:r>
      <w:r>
        <w:rPr>
          <w:rFonts w:eastAsia="Times New Roman" w:hint="eastAsia"/>
          <w:shd w:fill="00FFFF" w:val="clear"/>
        </w:rPr>
        <w:t>Figure S4</w:t>
      </w:r>
      <w:r>
        <w:rPr>
          <w:shd w:fill="00FFFF" w:val="clear"/>
        </w:rPr>
        <w:t>,</w:t>
      </w:r>
      <w:r>
        <w:rPr/>
        <w:t xml:space="preserve"> </w:t>
      </w:r>
      <w:r>
        <w:rPr>
          <w:shd w:fill="00FFFF" w:val="clear"/>
        </w:rPr>
        <w:t>Table S14</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Times New Roman"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Times New Roman" w:hint="eastAsia"/>
          <w:shd w:fill="00FFFF" w:val="clear"/>
        </w:rPr>
        <w:t>4</w:t>
      </w:r>
      <w:r>
        <w:rPr>
          <w:shd w:fill="00FFFF" w:val="clear"/>
        </w:rPr>
        <w:t>, Table S15</w:t>
      </w:r>
      <w:r>
        <w:rPr/>
        <w:t>). InsDel</w:t>
      </w:r>
      <w:r>
        <w:rPr>
          <w:rFonts w:eastAsia="Times New Roman"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rFonts w:eastAsia="Times New Roman"/>
        </w:rPr>
      </w:pPr>
      <w:r>
        <w:rPr/>
        <w:t>Demographic Associations</w:t>
      </w:r>
      <w:r>
        <w:rPr>
          <w:rFonts w:eastAsia="Times New Roman" w:hint="eastAsia"/>
        </w:rPr>
        <w:t xml:space="preserve"> with Gender and Age STEVE REVIEW</w:t>
      </w:r>
    </w:p>
    <w:p>
      <w:pPr>
        <w:pStyle w:val="Normal"/>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fill="00FFFF" w:val="clear"/>
        </w:rPr>
        <w:t>Figure S6A,</w:t>
      </w:r>
      <w:r>
        <w:rPr>
          <w:rFonts w:eastAsia="Times New Roman" w:hint="eastAsia"/>
        </w:rPr>
        <w:t xml:space="preserve"> </w:t>
      </w:r>
      <w:r>
        <w:rPr>
          <w:rFonts w:eastAsia="Times New Roman" w:hint="eastAsia"/>
          <w:shd w:fill="00FFFF" w:val="clear"/>
        </w:rPr>
        <w:t>Table S16</w:t>
      </w:r>
      <w:r>
        <w:rPr>
          <w:rFonts w:eastAsia="Times New Roman" w:hint="eastAsia"/>
        </w:rPr>
        <w:t>)</w:t>
      </w:r>
      <w:r>
        <w:rPr>
          <w:rFonts w:eastAsia="Times New Roman"/>
        </w:rPr>
        <w:t xml:space="preserve">. </w:t>
      </w:r>
      <w:r>
        <w:rPr>
          <w:rFonts w:eastAsia="Times New Roman"/>
          <w:shd w:fill="FFFF00" w:val="clear"/>
        </w:rPr>
        <w:t>&lt;parallel structure&gt;</w:t>
      </w:r>
      <w:r>
        <w:rPr>
          <w:rFonts w:eastAsia="Times New Roman"/>
        </w:rPr>
        <w:t>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fill="FFFF00" w:val="clear"/>
        </w:rPr>
        <w:t xml:space="preserve"> </w:t>
      </w:r>
      <w:commentRangeStart w:id="0"/>
      <w:r>
        <w:rPr>
          <w:rFonts w:eastAsia="Times New Roman"/>
          <w:shd w:fill="FFFF00" w:val="clear"/>
        </w:rPr>
        <w:t>&lt;mentioned anywhere else?&gt;</w:t>
      </w:r>
      <w:r>
        <w:rPr>
          <w:rFonts w:eastAsia="Times New Roman"/>
          <w:shd w:fill="FFFF00" w:val="clear"/>
        </w:rPr>
      </w:r>
      <w:commentRangeEnd w:id="0"/>
      <w:r>
        <w:commentReference w:id="0"/>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pPr>
        <w:pStyle w:val="Normal"/>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fill="00FFFF" w:val="clear"/>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fill="FFFF00" w:val="clear"/>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fill="FFFF00" w:val="clear"/>
        </w:rPr>
        <w:t xml:space="preserve"> </w:t>
      </w:r>
      <w:r>
        <w:rPr>
          <w:rFonts w:eastAsia="Times New Roman" w:hint="eastAsia"/>
          <w:shd w:fill="00FFFF" w:val="clear"/>
        </w:rPr>
        <w:t>(Table S17)</w:t>
      </w:r>
      <w:r>
        <w:rPr>
          <w:rFonts w:eastAsia="Times New Roman"/>
          <w:shd w:fill="00FFFF" w:val="clear"/>
        </w:rPr>
        <w:t xml:space="preserve">. </w:t>
      </w:r>
      <w:r>
        <w:rPr>
          <w:rFonts w:eastAsia="Times New Roman"/>
        </w:rPr>
        <w:t>However, these broad pan-cancer associations likely reflect weak or heterogeneous age dependencies spread across multiple tumor types, rather than strong, tissue-specific age effects.</w:t>
      </w:r>
    </w:p>
    <w:p>
      <w:pPr>
        <w:pStyle w:val="Normal"/>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Times New Roman"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rFonts w:eastAsia="宋体"/>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1"/>
      <w:commentRangeStart w:id="2"/>
      <w:commentRangeStart w:id="3"/>
      <w:commentRangeStart w:id="4"/>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4"/>
      <w:r>
        <w:commentReference w:id="4"/>
      </w:r>
      <w:r>
        <w:rPr>
          <w:rFonts w:eastAsia="宋体" w:eastAsiaTheme="minorEastAsia"/>
        </w:rPr>
      </w:r>
      <w:commentRangeEnd w:id="3"/>
      <w:r>
        <w:commentReference w:id="3"/>
      </w:r>
      <w:r>
        <w:rPr>
          <w:rFonts w:eastAsia="宋体" w:eastAsiaTheme="minorEastAsia"/>
        </w:rPr>
      </w:r>
      <w:commentRangeEnd w:id="2"/>
      <w:r>
        <w:commentReference w:id="2"/>
      </w:r>
      <w:r>
        <w:rPr>
          <w:rFonts w:eastAsia="宋体" w:eastAsiaTheme="minorEastAsia"/>
        </w:rPr>
      </w:r>
      <w:commentRangeEnd w:id="1"/>
      <w:r>
        <w:commentReference w:id="1"/>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rFonts w:eastAsia="宋体" w:hint="eastAsia"/>
        </w:rPr>
      </w:pPr>
      <w:commentRangeStart w:id="5"/>
      <w:r>
        <w:rPr>
          <w:rFonts w:eastAsia="宋体"/>
        </w:rPr>
        <w:t>A potential source of technical variation in our analysis is the use of data generated by different variant-calling pipelines</w:t>
      </w:r>
      <w:r>
        <w:rPr>
          <w:rFonts w:eastAsia="宋体" w:hint="eastAsia"/>
        </w:rPr>
        <w:t xml:space="preserve"> used for</w:t>
      </w:r>
      <w:r>
        <w:rPr>
          <w:rFonts w:eastAsia="宋体"/>
        </w:rPr>
        <w:t xml:space="preserve"> PCAWG and Hartwig cohorts. We observed a higher frequency of indels occurring in sequence contexts containing more than nine repeat units in the Hartwig data, raising the possibility that differences in variant calling, local realignment, or indel representation contributed to this discrepancy. To assess and minimize the potential impact of this bias, we performed two additional analyses. First, we excluded indels associated with more than nine repeat units to improve comparability with the PCAWG calling pipeline. Second, for indels occurring in repetitive sequence contexts, we normalized their representation by moving each indel to the leftmost possible position within the sequence context. Thus, we cannot exclude residual caller- or cohort-specific effects, particularly for indels in highly repetitive sequence contexts and for signatures supported by relatively few mutations. Nevertheless, the overall consistency of the dominant signatures across datasets, together with the robustness of the results after filtering and representation normalization, suggests that variant-calling bias is unlikely to substantially affect the main conclusions of this study.</w:t>
      </w:r>
      <w:commentRangeEnd w:id="5"/>
      <w:r>
        <w:commentReference w:id="5"/>
      </w:r>
      <w:r>
        <w:rPr>
          <w:rFonts w:eastAsia="宋体"/>
        </w:rPr>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w:t>
      </w:r>
      <w:r>
        <w:rPr>
          <w:rFonts w:eastAsia="Times New Roman" w:hint="eastAsia"/>
        </w:rPr>
        <w:t>)</w:t>
      </w:r>
      <w:r>
        <w:rPr/>
        <w:t>. Hartwig Medical Foundation</w:t>
      </w:r>
      <w:r>
        <w:rPr>
          <w:rFonts w:eastAsia="Times New Roman"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Times New Roman"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&lt;we can duplicate this in the code but we don’t need to re-present the Priestly table&gt; These data was also provided</w:t>
      </w:r>
      <w:r>
        <w:rPr/>
        <w:t xml:space="preserve"> are available in Table S</w:t>
      </w:r>
      <w:r>
        <w:rPr>
          <w:rFonts w:hint="eastAsia"/>
        </w:rPr>
        <w:t>1</w:t>
      </w:r>
      <w:r>
        <w:rPr>
          <w:rFonts w:eastAsia="Times New Roman" w:hint="eastAsia"/>
        </w:rPr>
        <w:t>6</w:t>
      </w:r>
      <w:r>
        <w:rPr>
          <w:rFonts w:hint="eastAsia"/>
        </w:rPr>
        <w:t xml:space="preserve"> in </w:t>
      </w:r>
      <w:bookmarkStart w:id="23" w:name="ZOTERO_BREF_Jmprd6S6YeS8"/>
      <w:r>
        <w:rPr>
          <w:rFonts w:hint="eastAsia"/>
        </w:rPr>
        <w:t>(Priestley et al. 2019)</w:t>
      </w:r>
      <w:bookmarkEnd w:id="23"/>
      <w:r>
        <w:rPr/>
        <w:t xml:space="preserve">. </w:t>
      </w:r>
    </w:p>
    <w:p>
      <w:pPr>
        <w:pStyle w:val="Heading2"/>
        <w:rPr/>
      </w:pPr>
      <w:r>
        <w:rPr>
          <w:rFonts w:hint="eastAsia"/>
        </w:rPr>
        <w:t xml:space="preserve">De novo </w:t>
      </w:r>
      <w:r>
        <w:rPr/>
        <w:t>Mutational signature extraction</w:t>
      </w:r>
    </w:p>
    <w:p>
      <w:pPr>
        <w:pStyle w:val="Normal"/>
        <w:ind w:firstLineChars="20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pPr>
        <w:pStyle w:val="Normal"/>
        <w:ind w:firstLineChars="200"/>
        <w:rPr>
          <w:rFonts w:eastAsia="Times New Roman"/>
        </w:rPr>
      </w:pPr>
      <w:r>
        <w:rPr>
          <w:rFonts w:eastAsia="Times New Roman" w:hint="eastAsia"/>
        </w:rPr>
        <w:t xml:space="preserve">For 83-type signatures, the signatures were matched to previously identified COSMIC signatures (v3.5, </w:t>
      </w:r>
      <w:hyperlink r:id="rId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pPr>
        <w:pStyle w:val="Normal"/>
        <w:ind w:firstLineChars="20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rPr/>
        <w:t xml:space="preserve">to </w:t>
      </w:r>
      <w:r>
        <w:rPr>
          <w:rFonts w:eastAsia="Times New Roman" w:hint="eastAsia"/>
        </w:rPr>
        <w:t>the published</w:t>
      </w:r>
      <w:r>
        <w:rPr/>
        <w:t xml:space="preserve"> signatures and categorized them into three groups: (1) known signature: if</w:t>
      </w:r>
      <w:r>
        <w:rPr>
          <w:rFonts w:eastAsia="Times New Roman"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Times New Roman"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Times New Roman" w:hint="eastAsia"/>
        </w:rPr>
        <w:t xml:space="preserve">extracted </w:t>
      </w:r>
      <w:r>
        <w:rPr/>
        <w:t xml:space="preserve">signatures do not fit into the known signatures or the merged signatures. </w:t>
      </w:r>
      <w:r>
        <w:rPr>
          <w:rFonts w:eastAsia="Times New Roman" w:hint="eastAsia"/>
        </w:rPr>
        <w:t>We focused on (1) and (3) in this study.</w:t>
      </w:r>
    </w:p>
    <w:p>
      <w:pPr>
        <w:pStyle w:val="Heading2"/>
        <w:rPr>
          <w:rFonts w:eastAsia="Times New Roman"/>
        </w:rPr>
      </w:pPr>
      <w:r>
        <w:rPr>
          <w:rFonts w:eastAsia="Times New Roman" w:hint="eastAsia"/>
        </w:rPr>
        <w:t>Assignment of signature activity to each individual genome</w:t>
      </w:r>
    </w:p>
    <w:p>
      <w:pPr>
        <w:pStyle w:val="normalfirst"/>
        <w:ind w:firstLineChars="200"/>
        <w:rPr/>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S18)</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rPr/>
        <w:t xml:space="preserve">First, we applied the find_best_reconstruction_QP function from the </w:t>
      </w:r>
      <w:r>
        <w:rPr>
          <w:rFonts w:eastAsia="Times New Roman"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pPr>
        <w:pStyle w:val="Heading2"/>
        <w:rPr>
          <w:rFonts w:eastAsia="Times New Roman"/>
        </w:rPr>
      </w:pPr>
      <w:r>
        <w:rPr>
          <w:rFonts w:eastAsia="Times New Roman"/>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Times New Roman"/>
        </w:rPr>
      </w:pPr>
      <w:r>
        <w:rPr>
          <w:rFonts w:eastAsia="Times New Roman"/>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Times New Roman"/>
        </w:rPr>
      </w:pPr>
      <w:r>
        <w:rPr>
          <w:rFonts w:eastAsia="Times New Roman"/>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Times New Roman"/>
        </w:rPr>
      </w:pPr>
      <w:r>
        <w:rPr>
          <w:rFonts w:eastAsia="Times New Roman"/>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 </w:t>
      </w:r>
    </w:p>
    <w:p>
      <w:pPr>
        <w:pStyle w:val="Normal"/>
        <w:rPr/>
      </w:pPr>
      <w:r>
        <w:rPr/>
        <w:t>strand ratio = (+ strand_mutation_counts)·(- strand_mutation_counts)</w:t>
      </w:r>
      <w:r>
        <w:rPr>
          <w:vertAlign w:val="superscript"/>
        </w:rPr>
        <w:t xml:space="preserve">-1 </w:t>
      </w:r>
    </w:p>
    <w:p>
      <w:pPr>
        <w:pStyle w:val="Normal"/>
        <w:ind w:hanging="0"/>
        <w:rPr>
          <w:shd w:fill="FFFF00" w:val="clear"/>
        </w:rPr>
      </w:pPr>
      <w:r>
        <w:rPr>
          <w:shd w:fill="FFFF00" w:val="clear"/>
        </w:rPr>
        <w:t>We calculated the osdds ratio between the strand ratio of real somatic indels and the strand ratio of simulated somatic indels.</w:t>
      </w:r>
    </w:p>
    <w:p>
      <w:pPr>
        <w:pStyle w:val="Normal"/>
        <w:ind w:hanging="0"/>
        <w:rPr/>
      </w:pPr>
      <w:r>
        <w:rPr/>
        <w:t>We then calculated p values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Times New Roman"/>
        </w:rPr>
      </w:pPr>
      <w:r>
        <w:rPr>
          <w:rFonts w:eastAsia="Times New Roman"/>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xml:space="preserve">), respectively. The two models are </w:t>
      </w:r>
      <w:r>
        <w:rPr>
          <w:i/>
          <w:iCs/>
        </w:rPr>
        <w:t>lm(R ~ c )</w:t>
      </w:r>
      <w:r>
        <w:rPr/>
        <w:t xml:space="preserve"> and </w:t>
      </w:r>
      <w:r>
        <w:rPr>
          <w:i/>
          <w:iCs/>
        </w:rPr>
        <w:t>lm(S ~ c)</w:t>
      </w:r>
      <w:r>
        <w:rPr/>
        <w:t>, where  replication timing denotes a vector c = (1,2,3 … 10).</w:t>
      </w:r>
    </w:p>
    <w:p>
      <w:pPr>
        <w:pStyle w:val="Normal"/>
        <w:rPr/>
      </w:pPr>
      <w:r>
        <w:rPr/>
        <w:t xml:space="preserve">The replication timing trend for </w:t>
      </w:r>
      <w:r>
        <w:rPr>
          <w:rFonts w:eastAsia="Times New Roman" w:hint="eastAsia"/>
        </w:rPr>
        <w:t xml:space="preserve">an 83-type </w:t>
      </w:r>
      <w:r>
        <w:rPr/>
        <w:t xml:space="preserve">signature was determined for both real and simulated data. An </w:t>
      </w:r>
      <w:r>
        <w:rPr>
          <w:rFonts w:eastAsia="Times New Roman"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Times New Roman" w:hint="eastAsia"/>
        </w:rPr>
        <w:t>83-type</w:t>
      </w:r>
      <w:r>
        <w:rPr/>
        <w:t xml:space="preserve"> signature for the two datasets (real and simulated data) were different, the relative trend for real data comparing the simulated data was the final trend for the </w:t>
      </w:r>
      <w:r>
        <w:rPr>
          <w:rFonts w:eastAsia="Times New Roman" w:hint="eastAsia"/>
        </w:rPr>
        <w:t>83-type</w:t>
      </w:r>
      <w:r>
        <w:rPr/>
        <w:t xml:space="preserve"> signature. Otherwise, if the trends of a certain </w:t>
      </w:r>
      <w:r>
        <w:rPr>
          <w:rFonts w:eastAsia="Times New Roman" w:hint="eastAsia"/>
        </w:rPr>
        <w:t>83-type</w:t>
      </w:r>
      <w:r>
        <w:rPr/>
        <w:t xml:space="preserve"> signature for the two dataset were the same, a third multiple linear regression model was fitted: </w:t>
      </w:r>
      <w:r>
        <w:rPr>
          <w:i/>
          <w:iCs/>
        </w:rPr>
        <w:t>lm(R ~ S + c)</w:t>
      </w:r>
    </w:p>
    <w:p>
      <w:pPr>
        <w:pStyle w:val="Normal"/>
        <w:rPr/>
      </w:pPr>
      <w:r>
        <w:rPr/>
      </w:r>
    </w:p>
    <w:p>
      <w:pPr>
        <w:pStyle w:val="Normal"/>
        <w:rPr>
          <w:rFonts w:eastAsia="Times New Roman"/>
        </w:rPr>
      </w:pPr>
      <w:r>
        <w:rPr/>
        <w:t xml:space="preserve">Similarly, the final trend of an </w:t>
      </w:r>
      <w:r>
        <w:rPr>
          <w:rFonts w:eastAsia="Times New Roman" w:hint="eastAsia"/>
        </w:rPr>
        <w:t>83-type</w:t>
      </w:r>
      <w:r>
        <w:rPr/>
        <w:t xml:space="preserve"> signature were determined by the significance of the coefficient of replication timing. If it is not significant, an </w:t>
      </w:r>
      <w:r>
        <w:rPr>
          <w:rFonts w:eastAsia="Times New Roman" w:hint="eastAsia"/>
        </w:rPr>
        <w:t>83-type</w:t>
      </w:r>
      <w:r>
        <w:rPr/>
        <w:t xml:space="preserve"> signature was considered to be generally unaffected by replication timing. Otherwise, if the coefficient of replication timing &gt; 0, an </w:t>
      </w:r>
      <w:r>
        <w:rPr>
          <w:rFonts w:eastAsia="Times New Roman" w:hint="eastAsia"/>
        </w:rPr>
        <w:t>83-type</w:t>
      </w:r>
      <w:r>
        <w:rPr/>
        <w:t xml:space="preserve"> signature was considered to be increasing from early to late replicating regions; if the coefficient of replication timing &lt; 0, an </w:t>
      </w:r>
      <w:r>
        <w:rPr>
          <w:rFonts w:eastAsia="Times New Roman" w:hint="eastAsia"/>
        </w:rPr>
        <w:t>83-type</w:t>
      </w:r>
      <w:r>
        <w:rPr/>
        <w:t xml:space="preserve"> signature was considered to be decreasing from early to late replicating regions.</w:t>
      </w:r>
    </w:p>
    <w:p>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pPr>
        <w:pStyle w:val="Normal"/>
        <w:rPr>
          <w:color w:val="000000"/>
        </w:rPr>
      </w:pPr>
      <w:r>
        <w:rPr/>
        <w:t>For PCAWG genomes, the MSI</w:t>
      </w:r>
      <w:r>
        <w:rPr>
          <w:rFonts w:eastAsia="Times New Roman"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Times New Roman"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Times New Roman"/>
        </w:rPr>
      </w:pPr>
      <w:r>
        <w:rPr>
          <w:rFonts w:eastAsia="Times New Roman"/>
        </w:rPr>
        <w:t>Extended sequence context</w:t>
      </w:r>
      <w:r>
        <w:rPr>
          <w:rFonts w:eastAsia="Times New Roman"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Times New Roman"/>
        </w:rPr>
      </w:pPr>
      <w:r>
        <w:rPr>
          <w:b/>
          <w:bCs/>
        </w:rPr>
        <w:t>Declaration of generative AI and AI-assisted technologies in the writing process.</w:t>
      </w:r>
      <w:r>
        <w:rPr>
          <w:rFonts w:eastAsia="Times New Roman"/>
        </w:rPr>
        <w:t xml:space="preserve">  </w:t>
      </w:r>
    </w:p>
    <w:p>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rP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pPr>
        <w:pStyle w:val="Heading1"/>
        <w:rPr/>
      </w:pPr>
      <w:r>
        <w:rPr/>
      </w:r>
      <w:r>
        <w:br w:type="page"/>
      </w:r>
    </w:p>
    <w:p>
      <w:pPr>
        <w:pStyle w:val="Heading1"/>
        <w:spacing w:before="0" w:after="120"/>
        <w:rPr/>
      </w:pPr>
      <w:r>
        <w:rPr/>
        <w:t>Reference</w:t>
      </w:r>
    </w:p>
    <w:p>
      <w:pPr>
        <w:pStyle w:val="Bibliography1"/>
        <w:rPr/>
      </w:pPr>
      <w:bookmarkStart w:id="24"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2020a. ‘The Repertoire of Mutational Signatures in Human Cancer’. </w:t>
      </w:r>
      <w:r>
        <w:rPr>
          <w:i/>
        </w:rPr>
        <w:t>Nature</w:t>
      </w:r>
      <w:r>
        <w:rPr/>
        <w:t xml:space="preserve"> 578 (7793): 94–101. https://doi.org/10.1038/s41586-020-1943-3.</w:t>
      </w:r>
    </w:p>
    <w:p>
      <w:pPr>
        <w:pStyle w:val="Bibliography1"/>
        <w:rPr/>
      </w:pPr>
      <w:r>
        <w:rPr/>
        <w:t xml:space="preserve">Alexandrov, Ludmil B., Jaegil Kim, Nicholas J. Haradhvala, et al. 2020b.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Lawson, Andrew R. J., Federico Abascal, Tim H. H. Coorens, et al. 2020. ‘Extensive Heterogeneity in Somatic Mutation and Selection in the Human Bladder’. </w:t>
      </w:r>
      <w:r>
        <w:rPr>
          <w:i/>
        </w:rPr>
        <w:t>Science</w:t>
      </w:r>
      <w:r>
        <w:rPr/>
        <w:t xml:space="preserve"> 370 (6512): 75–82. https://doi.org/10.1126/science.aba8347.</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4"/>
    </w:p>
    <w:p>
      <w:pPr>
        <w:pStyle w:val="Normal"/>
        <w:rPr/>
      </w:pPr>
      <w:r>
        <w:rPr/>
      </w:r>
    </w:p>
    <w:p>
      <w:pPr>
        <w:pStyle w:val="Normal"/>
        <w:spacing w:lineRule="auto" w:line="240"/>
        <w:ind w:hanging="0"/>
        <w:rPr/>
      </w:pPr>
      <w:r>
        <w:rPr/>
      </w:r>
      <w:r>
        <w:br w:type="page"/>
      </w:r>
    </w:p>
    <w:tbl>
      <w:tblPr>
        <w:tblW w:w="934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ind w:hanging="0"/>
        <w:rPr>
          <w:sz w:val="18"/>
          <w:szCs w:val="18"/>
        </w:rPr>
      </w:pPr>
      <w:r>
        <w:rPr>
          <w:sz w:val="18"/>
          <w:szCs w:val="18"/>
        </w:rPr>
      </w:r>
      <w:r>
        <w:br w:type="page"/>
      </w:r>
    </w:p>
    <w:p>
      <w:pPr>
        <w:pStyle w:val="Normal"/>
        <w:spacing w:lineRule="auto" w:line="240" w:before="0" w:after="0"/>
        <w:ind w:hanging="0"/>
        <w:jc w:val="center"/>
        <w:rPr/>
      </w:pPr>
      <w:r>
        <w:rPr/>
        <w:drawing>
          <wp:inline distT="0" distB="0" distL="0" distR="0">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rcRect l="10810" t="8818" r="7605" b="33065"/>
                    <a:stretch>
                      <a:fillRect/>
                    </a:stretch>
                  </pic:blipFill>
                  <pic:spPr bwMode="auto">
                    <a:xfrm>
                      <a:off x="0" y="0"/>
                      <a:ext cx="5247005" cy="483616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Figure 1 The aristolochic acid (AA) indel signatures (signature 23) in the three classification schemes.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ind w:hanging="0"/>
        <w:rPr>
          <w:rFonts w:eastAsia="宋体" w:eastAsiaTheme="minorEastAsia"/>
          <w:b/>
          <w:bCs/>
          <w:sz w:val="18"/>
          <w:szCs w:val="18"/>
        </w:rPr>
      </w:pPr>
      <w:r>
        <w:rPr>
          <w:rFonts w:eastAsia="宋体" w:eastAsiaTheme="minorEastAsia"/>
          <w:b/>
          <w:bCs/>
          <w:sz w:val="18"/>
          <w:szCs w:val="18"/>
        </w:rPr>
      </w:r>
    </w:p>
    <w:p>
      <w:pPr>
        <w:pStyle w:val="Normal"/>
        <w:spacing w:lineRule="auto" w:line="24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2"/>
                    <a:stretch>
                      <a:fillRect/>
                    </a:stretch>
                  </pic:blipFill>
                  <pic:spPr bwMode="auto">
                    <a:xfrm>
                      <a:off x="0" y="0"/>
                      <a:ext cx="5939790" cy="6678930"/>
                    </a:xfrm>
                    <a:prstGeom prst="rect">
                      <a:avLst/>
                    </a:prstGeom>
                    <a:noFill/>
                  </pic:spPr>
                </pic:pic>
              </a:graphicData>
            </a:graphic>
          </wp:inline>
        </w:drawing>
      </w:r>
    </w:p>
    <w:p>
      <w:pPr>
        <w:pStyle w:val="Normal"/>
        <w:spacing w:lineRule="auto" w:line="240"/>
        <w:ind w:hanging="0"/>
        <w:rPr>
          <w:rFonts w:eastAsia="宋体" w:eastAsiaTheme="minorEastAsia"/>
          <w:b/>
          <w:bCs/>
          <w:sz w:val="16"/>
          <w:szCs w:val="16"/>
        </w:rPr>
      </w:pPr>
      <w:r>
        <w:rPr>
          <w:rFonts w:eastAsia="宋体" w:eastAsiaTheme="minorEastAsia"/>
          <w:b/>
          <w:bCs/>
          <w:sz w:val="16"/>
          <w:szCs w:val="16"/>
        </w:rPr>
      </w:r>
    </w:p>
    <w:p>
      <w:pPr>
        <w:pStyle w:val="Normal"/>
        <w:spacing w:lineRule="auto" w:line="24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ind w:hanging="0"/>
        <w:rPr>
          <w:rFonts w:eastAsia="宋体" w:eastAsiaTheme="minorEastAsia"/>
          <w:sz w:val="28"/>
          <w:szCs w:val="28"/>
        </w:rPr>
      </w:pPr>
      <w:r>
        <w:rPr>
          <w:rFonts w:eastAsia="宋体" w:eastAsiaTheme="minorEastAsia"/>
          <w:sz w:val="28"/>
          <w:szCs w:val="28"/>
        </w:rPr>
      </w:r>
    </w:p>
    <w:p>
      <w:pPr>
        <w:pStyle w:val="Normal"/>
        <w:spacing w:lineRule="auto" w:line="240"/>
        <w:ind w:hanging="0"/>
        <w:rPr/>
      </w:pPr>
      <w:r>
        <w:rPr/>
      </w:r>
      <w:r>
        <w:br w:type="page"/>
      </w:r>
    </w:p>
    <w:p>
      <w:pPr>
        <w:pStyle w:val="Normal"/>
        <w:spacing w:before="0" w:after="160"/>
        <w:ind w:hanging="0"/>
        <w:rPr>
          <w:rFonts w:eastAsia="宋体" w:eastAsiaTheme="minorEastAsia"/>
        </w:rPr>
      </w:pPr>
      <w:r>
        <w:rPr/>
        <w:drawing>
          <wp:inline distT="0" distB="0" distL="0" distR="0">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3"/>
                    <a:stretch>
                      <a:fillRect/>
                    </a:stretch>
                  </pic:blipFill>
                  <pic:spPr bwMode="auto">
                    <a:xfrm>
                      <a:off x="0" y="0"/>
                      <a:ext cx="5939155" cy="6951345"/>
                    </a:xfrm>
                    <a:prstGeom prst="rect">
                      <a:avLst/>
                    </a:prstGeom>
                    <a:noFill/>
                  </pic:spPr>
                </pic:pic>
              </a:graphicData>
            </a:graphic>
          </wp:inline>
        </w:drawing>
      </w:r>
    </w:p>
    <w:p>
      <w:pPr>
        <w:pStyle w:val="Normal"/>
        <w:spacing w:lineRule="auto" w:line="240"/>
        <w:ind w:hanging="0"/>
        <w:rPr>
          <w:b/>
          <w:bCs/>
          <w:sz w:val="18"/>
          <w:szCs w:val="18"/>
        </w:rPr>
      </w:pPr>
      <w:r>
        <w:rPr>
          <w:rFonts w:hint="eastAsia"/>
          <w:b/>
          <w:bCs/>
          <w:sz w:val="18"/>
          <w:szCs w:val="18"/>
        </w:rPr>
        <w:t>Figure 3 Profiles of signatures extracted in the 89-type classification scheme</w:t>
      </w:r>
    </w:p>
    <w:p>
      <w:pPr>
        <w:pStyle w:val="Normal"/>
        <w:spacing w:lineRule="auto" w:line="24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r>
        <w:br w:type="page"/>
      </w:r>
    </w:p>
    <w:p>
      <w:pPr>
        <w:pStyle w:val="Normal"/>
        <w:spacing w:lineRule="auto" w:line="240" w:before="0" w:after="0"/>
        <w:ind w:hanging="0"/>
        <w:rPr>
          <w:sz w:val="18"/>
          <w:szCs w:val="18"/>
        </w:rPr>
      </w:pPr>
      <w:r>
        <w:rPr/>
        <w:drawing>
          <wp:inline distT="0" distB="0" distL="0" distR="0">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4"/>
                    <a:srcRect l="0" t="0" r="0" b="819"/>
                    <a:stretch>
                      <a:fillRect/>
                    </a:stretch>
                  </pic:blipFill>
                  <pic:spPr bwMode="auto">
                    <a:xfrm>
                      <a:off x="0" y="0"/>
                      <a:ext cx="5709285" cy="7549515"/>
                    </a:xfrm>
                    <a:prstGeom prst="rect">
                      <a:avLst/>
                    </a:prstGeom>
                    <a:noFill/>
                  </pic:spPr>
                </pic:pic>
              </a:graphicData>
            </a:graphic>
          </wp:inline>
        </w:drawing>
      </w:r>
    </w:p>
    <w:p>
      <w:pPr>
        <w:pStyle w:val="Normal"/>
        <w:spacing w:lineRule="auto" w:line="240"/>
        <w:ind w:hanging="0"/>
        <w:rPr>
          <w:sz w:val="18"/>
          <w:szCs w:val="18"/>
        </w:rPr>
      </w:pPr>
      <w:r>
        <w:rPr>
          <w:rFonts w:eastAsia="宋体" w:eastAsiaTheme="minorEastAsia"/>
          <w:b/>
          <w:bCs/>
          <w:sz w:val="18"/>
          <w:szCs w:val="18"/>
        </w:rPr>
        <w:t xml:space="preserve">Figure </w:t>
      </w:r>
      <w:r>
        <w:rPr>
          <w:rFonts w:eastAsia="Times New Roman"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Association of indel signatures with cancer types and SBS signatures and cancer types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 xml:space="preserve">(A) </w:t>
      </w:r>
      <w:r>
        <w:rPr>
          <w:rFonts w:eastAsia="宋体" w:hint="eastAsia" w:eastAsiaTheme="minor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宋体" w:hint="eastAsia" w:eastAsiaTheme="minorEastAsia"/>
          <w:sz w:val="18"/>
          <w:szCs w:val="18"/>
        </w:rPr>
        <w:t>s exact test of number of tumors with the signature versus the number without in a given tumor type versus all other tumors.</w:t>
      </w:r>
    </w:p>
    <w:p>
      <w:pPr>
        <w:pStyle w:val="Normal"/>
        <w:spacing w:lineRule="auto" w:line="24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5"/>
                    <a:stretch>
                      <a:fillRect/>
                    </a:stretch>
                  </pic:blipFill>
                  <pic:spPr bwMode="auto">
                    <a:xfrm>
                      <a:off x="0" y="0"/>
                      <a:ext cx="4744720" cy="6173470"/>
                    </a:xfrm>
                    <a:prstGeom prst="rect">
                      <a:avLst/>
                    </a:prstGeom>
                    <a:noFill/>
                  </pic:spPr>
                </pic:pic>
              </a:graphicData>
            </a:graphic>
          </wp:inline>
        </w:drawing>
      </w:r>
    </w:p>
    <w:p>
      <w:pPr>
        <w:pStyle w:val="Normal"/>
        <w:spacing w:lineRule="auto" w:line="240"/>
        <w:ind w:hanging="0"/>
        <w:rPr>
          <w:rFonts w:eastAsia="宋体"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6"/>
                    <a:stretch>
                      <a:fillRect/>
                    </a:stretch>
                  </pic:blipFill>
                  <pic:spPr bwMode="auto">
                    <a:xfrm>
                      <a:off x="0" y="0"/>
                      <a:ext cx="5935345" cy="3818255"/>
                    </a:xfrm>
                    <a:prstGeom prst="rect">
                      <a:avLst/>
                    </a:prstGeom>
                    <a:noFill/>
                  </pic:spPr>
                </pic:pic>
              </a:graphicData>
            </a:graphic>
          </wp:inline>
        </w:drawing>
      </w:r>
    </w:p>
    <w:p>
      <w:pPr>
        <w:pStyle w:val="Normal"/>
        <w:spacing w:lineRule="auto" w:line="240"/>
        <w:ind w:hanging="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ind w:hanging="0"/>
        <w:rPr>
          <w:rFonts w:ascii="Calibri" w:hAnsi="Calibri" w:eastAsia="Times New Roman" w:cs="Noto Sans Arabic UI"/>
          <w:sz w:val="22"/>
          <w:szCs w:val="22"/>
        </w:rPr>
      </w:pPr>
      <w:r>
        <w:rPr>
          <w:rFonts w:eastAsia="Times New Roman" w:cs="Noto Sans Arabic UI" w:ascii="Calibri" w:hAnsi="Calibri"/>
          <w:sz w:val="22"/>
          <w:szCs w:val="22"/>
        </w:rPr>
      </w:r>
    </w:p>
    <w:sectPr>
      <w:footerReference w:type="even" r:id="rId17"/>
      <w:footerReference w:type="default" r:id="rId18"/>
      <w:footerReference w:type="first" r:id="rId19"/>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8-21T14:53:00Z" w:initials="ML">
    <w:p>
      <w:pPr>
        <w:overflowPunct w:val="true"/>
        <w:spacing w:lineRule="auto" w:line="240"/>
        <w:rPr/>
      </w:pPr>
      <w:r>
        <w:annotationRef/>
      </w:r>
      <w:r>
        <w:rPr>
          <w:rFonts w:eastAsia="宋体" w:cs="Noto Sans Arabic UI" w:ascii="Calibri" w:hAnsi="Calibri"/>
          <w:sz w:val="22"/>
          <w:szCs w:val="22"/>
        </w:rPr>
        <w:t xml:space="preserve">The clock-like association was described in the following paragraph. We can either not mention the clock-like in this part, or bring the age-association part earlier. </w:t>
      </w:r>
    </w:p>
  </w:comment>
  <w:comment w:id="4" w:author="Mo Liu" w:date="2026-05-25T13:45:00Z" w:initials="ML">
    <w:p w14:paraId="01000000">
      <w:pPr>
        <w:overflowPunct w:val="true"/>
        <w:spacing w:lineRule="auto" w:line="240"/>
        <w:rPr/>
      </w:pPr>
      <w:r>
        <w:annotationRef/>
      </w:r>
      <w:r>
        <w:rPr>
          <w:rFonts w:eastAsia="宋体" w:cs="Noto Sans Arabic UI" w:ascii="Calibri" w:hAnsi="Calibri"/>
          <w:sz w:val="22"/>
          <w:szCs w:val="22"/>
        </w:rPr>
        <w:t>This is true. But not sure if this worths mentioning?</w:t>
      </w:r>
    </w:p>
  </w:comment>
  <w:comment w:id="3" w:author="Steve Rozen, Ph.D." w:date="2026-05-28T17:52:00Z" w:initials="SR">
    <w:p w14:paraId="02000000">
      <w:pPr>
        <w:overflowPunct w:val="true"/>
        <w:spacing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2" w:author="Mo Liu" w:date="2026-05-29T16:03:00Z" w:initials="ML">
    <w:p w14:paraId="03000000">
      <w:pPr>
        <w:overflowPunct w:val="false"/>
        <w:spacing w:lineRule="auto" w:line="240"/>
        <w:rPr/>
      </w:pPr>
      <w:r>
        <w:annotationRef/>
      </w:r>
      <w:r>
        <w:rPr>
          <w:rFonts w:eastAsia="宋体" w:cs="Noto Sans Arabic UI" w:ascii="Calibri" w:hAnsi="Calibri"/>
          <w:sz w:val="22"/>
          <w:szCs w:val="22"/>
        </w:rPr>
        <w:t>I update via email.</w:t>
      </w:r>
    </w:p>
  </w:comment>
  <w:comment w:id="1" w:author="Unknown Author" w:date="2026-07-02T20:23:00Z" w:initials="">
    <w:p>
      <w:pPr>
        <w:overflowPunct w:val="false"/>
        <w:spacing w:lineRule="auto" w:line="240"/>
        <w:rPr/>
      </w:pPr>
      <w:r>
        <w:annotationRef/>
      </w:r>
      <w:r>
        <w:rPr>
          <w:rFonts w:eastAsia="宋体" w:cs="Noto Sans Arabic UI" w:ascii="Calibri" w:hAnsi="Calibri"/>
          <w:i/>
          <w:sz w:val="16"/>
          <w:szCs w:val="22"/>
        </w:rPr>
        <w:t>Reply to Mo Liu (05/29/2026, 16:03): "..."</w:t>
      </w:r>
    </w:p>
    <w:p>
      <w:pPr>
        <w:overflowPunct w:val="false"/>
        <w:spacing w:lineRule="auto" w:line="240" w:before="15690" w:after="0"/>
        <w:rPr/>
      </w:pPr>
      <w:r>
        <w:rPr>
          <w:rFonts w:eastAsia="宋体" w:cs="Noto Sans Arabic UI" w:ascii="Calibri" w:hAnsi="Calibri"/>
          <w:sz w:val="20"/>
          <w:szCs w:val="20"/>
        </w:rPr>
        <w:t>Hi Steve,</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eastAsia="宋体" w:cs="Noto Sans Arabic UI" w:ascii="Calibri" w:hAnsi="Calibri"/>
          <w:sz w:val="20"/>
          <w:szCs w:val="20"/>
        </w:rPr>
        <w:t>I summarized the topographical annotations available on the COSMIC website.</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eastAsia="宋体" w:cs="Noto Sans Arabic UI" w:ascii="Calibri" w:hAnsi="Calibri"/>
          <w:sz w:val="20"/>
          <w:szCs w:val="20"/>
        </w:rPr>
        <w:t>In our paper, we examined the following four features: replication strand asymmetry, transcription strand asymmetry, genic strand asymmetry, and replication timing.</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eastAsia="宋体" w:cs="Noto Sans Arabic UI" w:ascii="Calibri" w:hAnsi="Calibri"/>
          <w:sz w:val="20"/>
          <w:szCs w:val="20"/>
        </w:rPr>
        <w:t>On COSMIC, except for ID6, no signature was fully annotated with all four features. So our work indeed provides important topographical annotations for the 83-type signatures.</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eastAsia="宋体" w:cs="Noto Sans Arabic UI" w:ascii="Calibri" w:hAnsi="Calibri"/>
          <w:sz w:val="20"/>
          <w:szCs w:val="20"/>
        </w:rPr>
        <w:t>I’ve summarized the information in the attached file.</w:t>
      </w:r>
    </w:p>
    <w:p>
      <w:pPr>
        <w:overflowPunct w:val="false"/>
        <w:spacing w:lineRule="auto" w:line="240" w:before="15690" w:after="0"/>
        <w:rPr/>
      </w:pPr>
      <w:r>
        <w:rPr>
          <w:rFonts w:eastAsia="宋体" w:cs="Noto Sans Arabic UI" w:ascii="Calibri" w:hAnsi="Calibri"/>
          <w:sz w:val="20"/>
          <w:szCs w:val="20"/>
        </w:rPr>
        <w:t>Please let me know if you need more information.</w:t>
      </w:r>
    </w:p>
    <w:p>
      <w:pPr>
        <w:overflowPunct w:val="false"/>
        <w:spacing w:lineRule="auto" w:line="240" w:before="15690" w:after="0"/>
        <w:rPr/>
      </w:pPr>
      <w:r>
        <w:rPr>
          <w:rFonts w:eastAsia="宋体" w:cs="Noto Sans Arabic UI" w:ascii="Calibri" w:hAnsi="Calibri"/>
          <w:sz w:val="20"/>
          <w:szCs w:val="20"/>
        </w:rPr>
        <w:t>Thanks,Mo</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eastAsia="宋体" w:cs="Noto Sans Arabic UI" w:ascii="Calibri" w:hAnsi="Calibri"/>
          <w:sz w:val="20"/>
          <w:szCs w:val="20"/>
        </w:rPr>
        <w:t>See COSMICv3.6 ID topographical annotation.xlsx</w:t>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pPr>
        <w:overflowPunct w:val="false"/>
        <w:spacing w:lineRule="auto" w:line="240" w:before="15690" w:after="0"/>
        <w:rPr/>
      </w:pPr>
      <w:r>
        <w:rPr>
          <w:rFonts w:cs="Noto Sans Arabic UI" w:eastAsia="宋体" w:ascii="Calibri" w:hAnsi="Calibri"/>
          <w:sz w:val="22"/>
          <w:szCs w:val="22"/>
        </w:rPr>
      </w:r>
    </w:p>
    <w:p w14:paraId="04000000">
      <w:pPr>
        <w:overflowPunct w:val="false"/>
        <w:spacing w:lineRule="auto" w:line="240" w:before="15690" w:after="0"/>
        <w:rPr/>
      </w:pPr>
      <w:r>
        <w:rPr>
          <w:rFonts w:cs="Noto Sans Arabic UI" w:eastAsia="宋体" w:ascii="Calibri" w:hAnsi="Calibri"/>
          <w:sz w:val="22"/>
          <w:szCs w:val="22"/>
        </w:rPr>
      </w:r>
    </w:p>
  </w:comment>
  <w:comment w:id="5" w:author="Mo Liu" w:date="2026-09-06T22:02:00Z" w:initials="ML">
    <w:p>
      <w:pPr>
        <w:overflowPunct w:val="true"/>
        <w:spacing w:lineRule="auto" w:line="240"/>
        <w:rPr/>
      </w:pPr>
      <w:r>
        <w:annotationRef/>
      </w:r>
      <w:r>
        <w:rPr>
          <w:rFonts w:eastAsia="宋体" w:cs="Noto Sans Arabic UI" w:ascii="Calibri" w:hAnsi="Calibri"/>
          <w:sz w:val="22"/>
          <w:szCs w:val="22"/>
        </w:rPr>
        <w:t>New paragraph added by Mo to discuss the potential caller batch effects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4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image" Target="media/image1.png"/><Relationship Id="rId5" Type="http://schemas.openxmlformats.org/officeDocument/2006/relationships/hyperlink" Target="https://dcc.icgc.org/releases/current/Projects/"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microsoft.com/office/2011/relationships/commentsExtended" Target="commentsExtended.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LibreOffice/26.2.5.2$Linux_X86_64 LibreOffice_project/620$Build-2</Application>
  <AppVersion>15.0000</AppVersion>
  <Pages>40</Pages>
  <Words>9996</Words>
  <Characters>59794</Characters>
  <CharactersWithSpaces>69446</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2026-09-06T14:03:00Z</dcterms:created>
  <dc:creator>Mo Liu</dc:creator>
  <dc:description/>
  <dc:language>en-US</dc:language>
  <cp:lastModifiedBy/>
  <cp:lastPrinted>2025-06-06T09:23:00Z</cp:lastPrinted>
  <dcterms:modified xsi:type="dcterms:W3CDTF">2026-09-13T16:20:59Z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