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numPr>
          <w:ilvl w:val="0"/>
          <w:numId w:val="0"/>
        </w:numPr>
        <w:ind w:hanging="0" w:star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 xml:space="preserve">(Table S9; </w:t>
      </w:r>
      <w:r>
        <w:rPr>
          <w:shd w:fill="FF0000" w:val="clear"/>
        </w:rPr>
        <w:t>possibly remove some of the sheets from table S9)</w:t>
      </w:r>
      <w:r>
        <w:rPr/>
        <w:t>.</w:t>
      </w:r>
    </w:p>
    <w:p>
      <w:pPr>
        <w:pStyle w:val="normalfirst"/>
        <w:rPr/>
      </w:pPr>
      <w:r>
        <w:rPr>
          <w:rFonts w:eastAsia="Times New Roman" w:hint="eastAsia"/>
          <w:b/>
          <w:bCs/>
          <w:i/>
          <w:iCs/>
        </w:rPr>
        <w:t>Two cases where the 89-type classification misses clear differences.</w:t>
      </w:r>
      <w:r>
        <w:rPr>
          <w:rFonts w:eastAsia="Times New Roman" w:hint="eastAsia"/>
          <w:b/>
          <w:bCs/>
        </w:rPr>
        <w:t xml:space="preserve"> </w:t>
      </w: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rPr/>
      </w:pPr>
      <w:r>
        <w:rPr>
          <w:rFonts w:eastAsia="Times New Roman"/>
          <w:b/>
          <w:bCs/>
          <w:i/>
          <w:iCs/>
        </w:rPr>
        <w:t>APOBEC3A activity and InsDel_Aβ</w:t>
      </w:r>
      <w:r>
        <w:rPr>
          <w:rFonts w:eastAsia="Times New Roman" w:hint="eastAsia"/>
          <w:b/>
          <w:bCs/>
          <w:i/>
          <w:iCs/>
        </w:rPr>
        <w:t xml:space="preserve">. </w:t>
      </w: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very distinct enough from InsDel9 in the 476-type classification to warrant an identifier.  </w:t>
      </w:r>
    </w:p>
    <w:p>
      <w:pPr>
        <w:pStyle w:val="normalfirst"/>
        <w:rPr>
          <w:shd w:fill="FFFF00" w:val="clear"/>
        </w:rPr>
      </w:pPr>
      <w:commentRangeStart w:id="0"/>
      <w:r>
        <w:rPr>
          <w:b/>
          <w:bCs/>
          <w:i/>
          <w:iCs/>
          <w:shd w:fill="FFFF00" w:val="clear"/>
        </w:rPr>
        <w:t xml:space="preserve">STEVE DEFINITE NEED PARAGRAPH </w:t>
      </w:r>
      <w:r>
        <w:rPr>
          <w:b/>
          <w:bCs/>
          <w:i/>
          <w:iCs/>
          <w:shd w:fill="FFFF00" w:val="clear"/>
        </w:rPr>
      </w:r>
      <w:commentRangeEnd w:id="0"/>
      <w:r>
        <w:commentReference w:id="0"/>
      </w:r>
      <w:r>
        <w:rPr>
          <w:i/>
          <w:iCs/>
          <w:shd w:fill="FFFF00" w:val="clear"/>
        </w:rPr>
        <w:t>N_beta is the new ID2</w:t>
      </w:r>
      <w:r>
        <w:rPr>
          <w:rFonts w:eastAsia="宋体" w:hint="eastAsia"/>
          <w:shd w:fill="FFFF00" w:val="clear"/>
        </w:rPr>
        <w:t xml:space="preserve">   </w:t>
      </w:r>
    </w:p>
    <w:p>
      <w:pPr>
        <w:pStyle w:val="Normal"/>
        <w:rPr>
          <w:rFonts w:eastAsia="宋体" w:hint="eastAsia"/>
          <w:shd w:fill="FFFF00" w:val="clear"/>
        </w:rPr>
      </w:pPr>
      <w:r>
        <w:rPr/>
        <w:t xml:space="preserve">We identified a novel signature, ID_N, along with its 89-type and 476-type sub-signatures, InsDel_Nα and InsDel_Nβ. </w:t>
      </w:r>
      <w:r>
        <w:rPr>
          <w:rFonts w:eastAsia="宋体" w:hint="eastAsia"/>
        </w:rPr>
        <w:t>A</w:t>
      </w:r>
      <w:r>
        <w:rPr/>
        <w:t xml:space="preserve">nalysis across our cohort revealed that InsDel_Nα is specifically linked to concurrent POLE mutations and mismatch repair deficiency (dMMR), supported by its high similarity to InD16b previously reported by Koh et al. </w:t>
      </w:r>
      <w:r>
        <w:rPr>
          <w:rFonts w:hint="eastAsia"/>
          <w:highlight w:val="cyan"/>
        </w:rPr>
        <w:t>(Table1,</w:t>
      </w:r>
      <w:r>
        <w:rPr>
          <w:rFonts w:eastAsia="宋体" w:hint="eastAsia"/>
          <w:highlight w:val="cyan"/>
        </w:rPr>
        <w:t xml:space="preserve"> S9,</w:t>
      </w:r>
      <w:r>
        <w:rPr>
          <w:rFonts w:hint="eastAsia"/>
          <w:highlight w:val="cyan"/>
        </w:rPr>
        <w:t xml:space="preserve"> citation).</w:t>
      </w:r>
      <w:r>
        <w:rPr>
          <w:rFonts w:hint="eastAsia"/>
        </w:rPr>
        <w:t xml:space="preserve"> Meanwhile</w:t>
      </w:r>
      <w:r>
        <w:rPr/>
        <w:t xml:space="preserve"> InsDel_Nβ exhibits a widespread prevalence across diverse cancer types. Historically, the canonical ID2 signature was attributed to both replication slippage and defective MMR. However, </w:t>
      </w:r>
      <w:r>
        <w:rPr>
          <w:rFonts w:eastAsia="宋体" w:hint="eastAsia"/>
        </w:rPr>
        <w:t>the analysis across all genomes in our cohort</w:t>
      </w:r>
      <w:r>
        <w:rPr/>
        <w:t xml:space="preserve"> demonstrated that 1-bp T deletions and 1-bp T insertions at poly(T) tracts (≥5 bp) consistently co-occur within microsatellite stable (MSS) tumors, indicating an intrinsic slippage mechanism operating independently of dMMR. Furthermore, our newly extracted C_ID2 signature and its three sub-signatures (InsDel2a/b/c) are exclusively enriched in microsatellite instability (MSI) tumors</w:t>
      </w:r>
      <w:r>
        <w:rPr>
          <w:rFonts w:eastAsia="宋体" w:hint="eastAsia"/>
        </w:rPr>
        <w:t xml:space="preserve"> </w:t>
      </w:r>
      <w:r>
        <w:rPr>
          <w:rFonts w:eastAsia="宋体" w:hint="eastAsia"/>
          <w:highlight w:val="cyan"/>
        </w:rPr>
        <w:t>(Figure 4)</w:t>
      </w:r>
      <w:r>
        <w:rPr/>
        <w:t>. Taken together,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Using unsupervised hierarchical clustering, we grouped mutational signatures into several distinct modules </w:t>
      </w:r>
      <w:r>
        <w:rPr>
          <w:shd w:fill="00FFFF" w:val="clear"/>
        </w:rPr>
        <w:t xml:space="preserve">(Figure </w:t>
      </w:r>
      <w:r>
        <w:rPr>
          <w:rFonts w:eastAsia="Times New Roman" w:hint="eastAsia"/>
          <w:shd w:fill="00FFFF" w:val="clear"/>
        </w:rPr>
        <w:t>4</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was defined by the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w:t>
      </w:r>
      <w:r>
        <w:rPr>
          <w:shd w:fill="FFFF00" w:val="clear"/>
        </w:rPr>
        <w:t xml:space="preserve">GI enriched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Times New Roman" w:hint="eastAsia"/>
        </w:rPr>
        <w:t>4</w:t>
      </w:r>
      <w:r>
        <w:rPr/>
        <w:t xml:space="preserve">, “Lung Tobacco Smoking”). </w:t>
      </w:r>
      <w:r>
        <w:rPr>
          <w:shd w:fill="FFFF00" w:val="clear"/>
        </w:rPr>
        <w:t xml:space="preserve">&lt;add cisplatin here&gt; </w:t>
      </w:r>
      <w:r>
        <w:rPr/>
        <w:t xml:space="preserve">In the gastrointestinal (GI)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1"/>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1"/>
      <w:r>
        <w:commentReference w:id="1"/>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Times New Roman"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2"/>
      <w:commentRangeStart w:id="3"/>
      <w:commentRangeStart w:id="4"/>
      <w:commentRangeStart w:id="5"/>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5"/>
      <w:r>
        <w:commentReference w:id="5"/>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7-31T14:40:00Z" w:initials="ML">
    <w:p>
      <w:pPr>
        <w:overflowPunct w:val="true"/>
        <w:spacing w:lineRule="auto" w:line="240" w:before="0" w:after="0"/>
        <w:rPr/>
      </w:pPr>
      <w:r>
        <w:annotationRef/>
      </w:r>
      <w:r>
        <w:rPr>
          <w:rFonts w:eastAsia="宋体" w:cs="Noto Sans Arabic UI" w:ascii="Calibri" w:hAnsi="Calibri"/>
          <w:sz w:val="22"/>
          <w:szCs w:val="22"/>
        </w:rPr>
        <w:t>Please review the paragraph</w:t>
      </w:r>
    </w:p>
  </w:comment>
  <w:comment w:id="1" w:author="Mo Liu" w:date="2026-06-29T16:59:00Z" w:initials="ML">
    <w:p>
      <w:pPr>
        <w:overflowPunct w:val="tru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5" w:author="Mo Liu" w:date="2026-05-25T13:45:00Z" w:initials="ML">
    <w:p w14:paraId="01000000">
      <w:pPr>
        <w:overflowPunct w:val="false"/>
        <w:spacing w:lineRule="auto" w:line="240" w:before="0" w:after="0"/>
        <w:rPr/>
      </w:pPr>
      <w:r>
        <w:annotationRef/>
      </w:r>
      <w:r>
        <w:rPr>
          <w:rFonts w:eastAsia="宋体" w:cs="Noto Sans Arabic UI" w:ascii="Calibri" w:hAnsi="Calibri"/>
          <w:sz w:val="22"/>
          <w:szCs w:val="22"/>
        </w:rPr>
        <w:t>This is true. But not sure if this worths mentioning?</w:t>
      </w:r>
    </w:p>
  </w:comment>
  <w:comment w:id="4" w:author="Steve Rozen, Ph.D." w:date="2026-05-28T17:52:00Z" w:initials="SR">
    <w:p w14:paraId="02000000">
      <w:pPr>
        <w:overflowPunct w:val="fals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3" w:author="Mo Liu" w:date="2026-05-29T16:03:00Z" w:initials="ML">
    <w:p w14:paraId="03000000">
      <w:pPr>
        <w:overflowPunct w:val="true"/>
        <w:spacing w:lineRule="auto" w:line="240" w:before="0" w:after="0"/>
        <w:rPr/>
      </w:pPr>
      <w:r>
        <w:annotationRef/>
      </w:r>
      <w:r>
        <w:rPr>
          <w:rFonts w:eastAsia="宋体" w:cs="Noto Sans Arabic UI" w:ascii="Calibri" w:hAnsi="Calibri"/>
          <w:sz w:val="22"/>
          <w:szCs w:val="22"/>
        </w:rPr>
        <w:t>I update via email.</w:t>
      </w:r>
    </w:p>
  </w:comment>
  <w:comment w:id="2" w:author="Unknown Author" w:date="2026-07-02T20:23:00Z" w:initials="">
    <w:p>
      <w:pPr>
        <w:overflowPunct w:val="true"/>
        <w:spacing w:lineRule="auto" w:line="240" w:before="0" w:after="0"/>
        <w:rPr/>
      </w:pPr>
      <w:r>
        <w:annotationRef/>
      </w:r>
      <w:r>
        <w:rPr>
          <w:rFonts w:eastAsia="宋体" w:cs="Noto Sans Arabic UI" w:ascii="Calibri" w:hAnsi="Calibri"/>
          <w:i/>
          <w:sz w:val="16"/>
          <w:szCs w:val="22"/>
        </w:rPr>
        <w:t>Reply to Mo Liu (05/29/2026, 16:03): "..."</w:t>
      </w:r>
    </w:p>
    <w:p>
      <w:pPr>
        <w:overflowPunct w:val="true"/>
        <w:spacing w:lineRule="auto" w:line="240" w:before="12651" w:after="10520"/>
        <w:rPr/>
      </w:pPr>
      <w:r>
        <w:rPr>
          <w:rFonts w:eastAsia="宋体" w:cs="Noto Sans Arabic UI" w:ascii="Calibri" w:hAnsi="Calibri"/>
          <w:sz w:val="20"/>
          <w:szCs w:val="20"/>
        </w:rPr>
        <w:t>Hi Steve,</w:t>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eastAsia="宋体" w:cs="Noto Sans Arabic UI" w:ascii="Calibri" w:hAnsi="Calibri"/>
          <w:sz w:val="20"/>
          <w:szCs w:val="20"/>
        </w:rPr>
        <w:t>I summarized the topographical annotations available on the COSMIC website.</w:t>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eastAsia="宋体" w:cs="Noto Sans Arabic UI" w:ascii="Calibri" w:hAnsi="Calibri"/>
          <w:sz w:val="20"/>
          <w:szCs w:val="20"/>
        </w:rPr>
        <w:t>I’ve summarized the information in the attached file.</w:t>
      </w:r>
    </w:p>
    <w:p>
      <w:pPr>
        <w:overflowPunct w:val="true"/>
        <w:spacing w:lineRule="auto" w:line="240" w:before="12651" w:after="10520"/>
        <w:rPr/>
      </w:pPr>
      <w:r>
        <w:rPr>
          <w:rFonts w:eastAsia="宋体" w:cs="Noto Sans Arabic UI" w:ascii="Calibri" w:hAnsi="Calibri"/>
          <w:sz w:val="20"/>
          <w:szCs w:val="20"/>
        </w:rPr>
        <w:t>Please let me know if you need more information.</w:t>
      </w:r>
    </w:p>
    <w:p>
      <w:pPr>
        <w:overflowPunct w:val="true"/>
        <w:spacing w:lineRule="auto" w:line="240" w:before="12651" w:after="10520"/>
        <w:rPr/>
      </w:pPr>
      <w:r>
        <w:rPr>
          <w:rFonts w:eastAsia="宋体" w:cs="Noto Sans Arabic UI" w:ascii="Calibri" w:hAnsi="Calibri"/>
          <w:sz w:val="20"/>
          <w:szCs w:val="20"/>
        </w:rPr>
        <w:t>Thanks,Mo</w:t>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eastAsia="宋体" w:cs="Noto Sans Arabic UI" w:ascii="Calibri" w:hAnsi="Calibri"/>
          <w:sz w:val="20"/>
          <w:szCs w:val="20"/>
        </w:rPr>
        <w:t>See COSMICv3.6 ID topographical annotation.xlsx</w:t>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pPr>
        <w:overflowPunct w:val="true"/>
        <w:spacing w:lineRule="auto" w:line="240" w:before="12651" w:after="10520"/>
        <w:rPr/>
      </w:pPr>
      <w:r>
        <w:rPr>
          <w:rFonts w:cs="Noto Sans Arabic UI" w:eastAsia="宋体" w:ascii="Calibri" w:hAnsi="Calibri"/>
          <w:sz w:val="22"/>
          <w:szCs w:val="22"/>
        </w:rPr>
      </w:r>
    </w:p>
    <w:p w14:paraId="04000000">
      <w:pPr>
        <w:overflowPunct w:val="true"/>
        <w:spacing w:lineRule="auto" w:line="240" w:before="12651" w:after="1052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LibreOffice/26.2.4.2$Linux_X86_64 LibreOffice_project/620$Build-2</Application>
  <AppVersion>15.0000</AppVersion>
  <Pages>40</Pages>
  <Words>9635</Words>
  <Characters>57785</Characters>
  <CharactersWithSpaces>67082</CharactersWithSpaces>
  <Paragraphs>409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2026-07-31T07:22:00Z</dcterms:created>
  <dc:creator>Mo Liu</dc:creator>
  <dc:description/>
  <dc:language>en-US</dc:language>
  <cp:lastModifiedBy/>
  <cp:lastPrinted>2025-06-06T09:23:00Z</cp:lastPrinted>
  <dcterms:modified xsi:type="dcterms:W3CDTF">2026-08-09T14:28:06Z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