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Xue Ming Wu1, Qi Zheng</w:t>
      </w:r>
      <w:r>
        <w:rPr>
          <w:rFonts w:hint="eastAsia"/>
        </w:rPr>
        <w:t xml:space="preserve">1, </w:t>
      </w:r>
      <w:r>
        <w:rPr/>
        <w:t>Runtian Yao</w:t>
      </w:r>
      <w:r>
        <w:rPr>
          <w:rFonts w:hint="eastAsia"/>
        </w:rPr>
        <w:t>4</w:t>
      </w:r>
      <w:r>
        <w:rPr/>
        <w:t xml:space="preserve">, </w:t>
      </w:r>
      <w:r>
        <w:rPr>
          <w:rFonts w:hint="eastAsia"/>
        </w:rPr>
        <w:t xml:space="preserve">Ying Yang1, Runxi Shen5, </w:t>
      </w:r>
      <w:r>
        <w:rPr/>
        <w:t>Steven G. Rozen</w:t>
      </w:r>
      <w:r>
        <w:rPr>
          <w:rFonts w:hint="eastAsia"/>
        </w:rPr>
        <w:t>2,3,6#</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w:t>
      </w:r>
      <w:r>
        <w:rPr/>
        <w:t>two</w:t>
      </w:r>
      <w:r>
        <w:rPr/>
        <w:t xml:space="preserve"> new classification</w:t>
      </w:r>
      <w:r>
        <w:rPr/>
        <w:t>s</w:t>
      </w:r>
      <w:r>
        <w:rPr/>
        <w:t xml:space="preserve"> that recognize 89 types </w:t>
      </w:r>
      <w:r>
        <w:rPr/>
        <w:t xml:space="preserve">and 487 types </w:t>
      </w:r>
      <w:r>
        <w:rPr/>
        <w:t>of indel</w:t>
      </w:r>
      <w:r>
        <w:rPr/>
        <w:t>. We show here that both the</w:t>
      </w:r>
      <w:r>
        <w:rPr/>
        <w:t>se</w:t>
      </w:r>
      <w:r>
        <w:rPr/>
        <w:t xml:space="preserve"> classification</w:t>
      </w:r>
      <w:r>
        <w:rPr/>
        <w:t>s</w:t>
      </w:r>
      <w:r>
        <w:rPr/>
        <w:t xml:space="preserve"> provide better discrimination </w:t>
      </w:r>
      <w:r>
        <w:rPr/>
        <w:t xml:space="preserve">between </w:t>
      </w:r>
      <w:r>
        <w:rPr/>
        <w:t xml:space="preserve">spectra and </w:t>
      </w:r>
      <w:r>
        <w:rPr/>
        <w:t xml:space="preserve">signatures than the </w:t>
      </w:r>
      <w:r>
        <w:rPr/>
        <w:t>older</w:t>
      </w:r>
      <w:r>
        <w:rPr/>
        <w:t xml:space="preserve"> classification into 83 types of indel.  </w:t>
      </w:r>
      <w:r>
        <w:rPr/>
        <w:t>W</w:t>
      </w:r>
      <w:r>
        <w:rPr/>
        <w:t xml:space="preserve">e analyzed somatic indels in 6,975 whole genomes from 32 cancer types to create comprehensive collections of signatures in </w:t>
      </w:r>
      <w:r>
        <w:rPr/>
        <w:t>all three</w:t>
      </w:r>
      <w:r>
        <w:rPr/>
        <w:t xml:space="preserve"> classification schemes. We extracted signatures </w:t>
      </w:r>
      <w:r>
        <w:rPr/>
        <w:t xml:space="preserve">in all three classification schemes </w:t>
      </w:r>
      <w:r>
        <w:rPr/>
        <w:t xml:space="preserve">using methods based on hierarchical Dirichlet processes and on non-negative matrix factorization with consistent results across the two methods. We identified </w:t>
      </w:r>
      <w:r>
        <w:rPr/>
        <w:t>48</w:t>
      </w:r>
      <w:r>
        <w:rPr/>
        <w:t xml:space="preserve"> mutational signatures in the new 89-type classification </w:t>
      </w:r>
      <w:r>
        <w:rPr/>
        <w:t>and</w:t>
      </w:r>
      <w:r>
        <w:rPr/>
        <w:t xml:space="preserve"> 46 of those in the 476-type classification. </w:t>
      </w:r>
      <w:r>
        <w:rPr/>
        <w:t xml:space="preserve">Of these, to our knowledge, </w:t>
      </w:r>
      <w:r>
        <w:rPr/>
        <w:t xml:space="preserve">30 </w:t>
      </w:r>
      <w:r>
        <w:rPr>
          <w:shd w:fill="FFFF00" w:val="clear"/>
        </w:rPr>
        <w:t>(</w:t>
      </w:r>
      <w:r>
        <w:rPr>
          <w:shd w:fill="FFFF00" w:val="clear"/>
        </w:rPr>
        <w:t>2</w:t>
      </w:r>
      <w:r>
        <w:rPr>
          <w:shd w:fill="FFFF00" w:val="clear"/>
        </w:rPr>
        <w:t>6 + 4 second matches)</w:t>
      </w:r>
      <w:r>
        <w:rPr/>
        <w:t xml:space="preserve"> </w:t>
      </w:r>
      <w:r>
        <w:rPr/>
        <w:t xml:space="preserve">were </w:t>
      </w:r>
      <w:r>
        <w:rPr/>
        <w:t xml:space="preserve">previously unreported. Algorithmic translation between signatures in the 83-type and </w:t>
      </w:r>
      <w:r>
        <w:rPr/>
        <w:t xml:space="preserve">the two new </w:t>
      </w:r>
      <w:r>
        <w:rPr/>
        <w:t>classification</w:t>
      </w:r>
      <w:r>
        <w:rPr/>
        <w:t>s</w:t>
      </w:r>
      <w:r>
        <w:rPr/>
        <w:t xml:space="preserve"> schemes is impossible. However, we leveraged tumor mutational spectra dominated by individual signatures to exhaustively elucidate the correspondences between signatures in the 83-type classification scheme </w:t>
      </w:r>
      <w:r>
        <w:rPr/>
        <w:t>and the two new schemes</w:t>
      </w:r>
      <w:r>
        <w:rPr/>
        <w:t xml:space="preserve">.  </w:t>
      </w:r>
      <w:r>
        <w:rPr/>
        <w:t xml:space="preserve">Nonetheless, the new schemes are in almost all cases superior, in that they detect differences between spectra and signatures that the 83-type classification does not. </w:t>
      </w:r>
      <w:r>
        <w:rPr/>
        <w:t xml:space="preserve">We provide a web site for exploring </w:t>
      </w:r>
      <w:r>
        <w:rPr/>
        <w:t>indel</w:t>
      </w:r>
      <w:r>
        <w:rPr/>
        <w:t xml:space="preserve"> signatures, the relationships between signatures in the three classifications,  signatures’ presence in tumors, and signatures’ relationships to genomic topography. </w:t>
      </w:r>
    </w:p>
    <w:p>
      <w:pPr>
        <w:pStyle w:val="normalfirst"/>
        <w:rPr/>
      </w:pPr>
      <w:r>
        <w:rPr/>
        <w:t>(Currently 2</w:t>
      </w:r>
      <w:r>
        <w:rPr/>
        <w:t>51</w:t>
      </w:r>
      <w:r>
        <w:rPr/>
        <w:t xml:space="preserve">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rPr/>
        <w:t>or with</w:t>
      </w:r>
      <w:r>
        <w:rPr/>
        <w:t xml:space="preserve">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pPr>
      <w:r>
        <w:rPr/>
        <w:t xml:space="preserve">The first widely used classification of indels </w:t>
      </w:r>
      <w:r>
        <w:rPr/>
        <w:t xml:space="preserve">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w:t>
      </w:r>
      <w:r>
        <w:rPr/>
        <w:t>and recently</w:t>
      </w:r>
      <w:r>
        <w:rPr/>
        <w:t xml:space="preserve"> </w:t>
      </w:r>
      <w:r>
        <w:fldChar w:fldCharType="begin"/>
      </w:r>
      <w:r>
        <w:rPr/>
        <w:instrText xml:space="preserve">vnd.oasis.opendocument.field.UNHANDLED</w:instrText>
      </w:r>
      <w:r>
        <w:rPr/>
      </w:r>
      <w:r>
        <w:rPr/>
        <w:fldChar w:fldCharType="separate"/>
      </w:r>
      <w:r>
        <w:rPr/>
        <w:t>(Koh et al. 2025)</w:t>
      </w:r>
      <w:r>
        <w:rPr/>
      </w:r>
      <w:r>
        <w:rPr/>
        <w:fldChar w:fldCharType="end"/>
      </w:r>
      <w:r>
        <w:rPr/>
        <w:t xml:space="preserve"> </w:t>
      </w:r>
      <w:r>
        <w:rPr/>
        <w:t xml:space="preserve">proposed two schemes, one with 89 types of indel and one with 476 types </w:t>
      </w:r>
      <w:r>
        <w:rPr/>
        <w:t xml:space="preserve">(Figure 1). Of note, algorithmic translation between the </w:t>
      </w:r>
      <w:r>
        <w:rPr/>
        <w:t xml:space="preserve">83-type classification and the </w:t>
      </w:r>
      <w:r>
        <w:rPr/>
        <w:t xml:space="preserve">two </w:t>
      </w:r>
      <w:r>
        <w:rPr/>
        <w:t xml:space="preserve">new </w:t>
      </w:r>
      <w:r>
        <w:rPr/>
        <w:t>classification schemes is impossible</w:t>
      </w:r>
      <w:r>
        <w:rPr>
          <w:shd w:fill="FFFF00" w:val="clear"/>
        </w:rPr>
        <w:t xml:space="preserve"> (Table S XXXX)</w:t>
      </w:r>
    </w:p>
    <w:p>
      <w:pPr>
        <w:pStyle w:val="Normal"/>
        <w:rPr/>
      </w:pPr>
      <w:r>
        <w:rPr/>
        <w:t>The 83-type s</w:t>
      </w:r>
      <w:r>
        <w:rPr/>
        <w:t>cheme primarily categorizes indels based on the number of bases inserted or deleted, and for single-base insertions and deletions the identity of the deleted or inserted base (conventionally shown as pyrimidines, C or T) &lt;</w:t>
      </w:r>
      <w:r>
        <w:rPr/>
        <w:t>make a zenodo doi for this&gt;</w:t>
      </w:r>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Koh et al., </w:t>
      </w:r>
      <w:r>
        <w:rPr/>
        <w:t xml:space="preserve">proposed two new classifications, one based on 476 types of indel and one based on 89 types, which mainly consolidates similar mutation types in the 476-type classification into more-coarse-grained mutation types </w:t>
      </w:r>
      <w:r>
        <w:rPr>
          <w:color w:val="000000"/>
          <w:shd w:fill="FFFF00" w:val="clear"/>
        </w:rPr>
        <w:t>&lt;reference&gt;</w:t>
      </w:r>
      <w:r>
        <w:rPr/>
        <w:t xml:space="preserve"> </w:t>
      </w:r>
      <w:r>
        <w:rPr/>
        <w:t>Critically, both the 476 and the 89-type classifications distinguish different types</w:t>
      </w:r>
      <w:r>
        <w:rPr/>
        <w:t xml:space="preserve"> indels of a single T or C </w:t>
      </w:r>
      <w:r>
        <w:rPr/>
        <w:t>according to</w:t>
      </w:r>
      <w:r>
        <w:rPr/>
        <w:t xml:space="preserve"> the non-T (respectively, non-C) flaking bases </w:t>
      </w:r>
      <w:r>
        <w:rPr/>
        <w:t>while the 83-type classification does not make these distinctions. Consideration of flanking bases dramatically</w:t>
      </w:r>
      <w:r>
        <w:rPr/>
        <w:t xml:space="preserve"> improves </w:t>
      </w:r>
      <w:r>
        <w:rPr/>
        <w:t>discrimination between mutational spectra and</w:t>
      </w:r>
      <w:r>
        <w:rPr/>
        <w:t xml:space="preserve"> signatures involving single-base indel</w:t>
      </w:r>
      <w:r>
        <w:rPr/>
        <w:t>s, which are present in most signatures</w:t>
      </w:r>
      <w:r>
        <w:rPr/>
        <w:t>. For example, the 89-type classification distinguishes between deletions of a T in which the preceding base is A, C, or G (in Figure 1B, signature InsDel23). &lt;</w:t>
      </w:r>
      <w:r>
        <w:rPr>
          <w:shd w:fill="FFFF00" w:val="clear"/>
        </w:rPr>
        <w:t xml:space="preserve">is this in the figure?&gt; </w:t>
      </w:r>
      <w:r>
        <w:rPr/>
        <w:t xml:space="preserve">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w:t>
      </w:r>
    </w:p>
    <w:p>
      <w:pPr>
        <w:pStyle w:val="Normal"/>
        <w:rPr/>
      </w:pPr>
      <w:r>
        <w:rPr/>
        <w:t xml:space="preserve">There </w:t>
      </w:r>
      <w:r>
        <w:rPr/>
        <w:t xml:space="preserve">are </w:t>
      </w:r>
      <w:r>
        <w:rPr/>
        <w:t xml:space="preserve">advantages to each of the indel classification schemes. In the 83-type </w:t>
      </w:r>
      <w:r>
        <w:rPr/>
        <w:t xml:space="preserve">and 476-type classifications the </w:t>
      </w:r>
      <w:r>
        <w:rPr/>
        <w:t xml:space="preserve">most common </w:t>
      </w:r>
      <w:r>
        <w:rPr/>
        <w:t xml:space="preserve">AA-related deletions </w:t>
      </w:r>
      <w:r>
        <w:rPr/>
        <w:t>of single T</w:t>
      </w:r>
      <w:r>
        <w:rPr/>
        <w:t>s</w:t>
      </w:r>
      <w:r>
        <w:rPr/>
        <w:t xml:space="preserve"> </w:t>
      </w:r>
      <w:r>
        <w:rPr/>
        <w:t xml:space="preserve">are deletions of single Ts, while </w:t>
      </w:r>
      <w:r>
        <w:rPr/>
        <w:t xml:space="preserve">the 89-type </w:t>
      </w:r>
      <w:r>
        <w:rPr/>
        <w:t>groups these together as deletions of 1 to 4 Ts</w:t>
      </w:r>
      <w:r>
        <w:rPr/>
        <w:t xml:space="preserve">. </w:t>
      </w:r>
      <w:r>
        <w:rPr/>
        <w:t>Both the 476</w:t>
      </w:r>
      <w:r>
        <w:rPr/>
        <w:t xml:space="preserve"> </w:t>
      </w:r>
      <w:r>
        <w:rPr/>
        <w:t xml:space="preserve">and </w:t>
      </w:r>
      <w:r>
        <w:rPr/>
        <w:t>the 89-</w:t>
      </w:r>
      <w:r>
        <w:rPr/>
        <w:t xml:space="preserve">type classifications </w:t>
      </w:r>
      <w:r>
        <w:rPr/>
        <w:t xml:space="preserve">show that deletions of T are </w:t>
      </w:r>
      <w:r>
        <w:rPr/>
        <w:t xml:space="preserve">most often </w:t>
      </w:r>
      <w:r>
        <w:rPr/>
        <w:t>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w:t>
      </w:r>
      <w:r>
        <w:rPr/>
        <w:t>signatures in</w:t>
      </w:r>
      <w:r>
        <w:rPr/>
        <w:t xml:space="preserve"> </w:t>
      </w:r>
      <w:r>
        <w:rPr/>
        <w:t>all three</w:t>
      </w:r>
      <w:r>
        <w:rPr/>
        <w:t xml:space="preserve"> classification schemes using approaches based on hierarchical Dirichlet processes and on non-negative matrix factorization. </w:t>
      </w:r>
      <w:r>
        <w:rPr/>
        <w:t>We systematically</w:t>
      </w:r>
      <w:r>
        <w:rPr/>
        <w:t xml:space="preserve"> match</w:t>
      </w:r>
      <w:r>
        <w:rPr/>
        <w:t>ed</w:t>
      </w:r>
      <w:r>
        <w:rPr/>
        <w:t xml:space="preserve"> the </w:t>
      </w:r>
      <w:r>
        <w:rPr/>
        <w:t xml:space="preserve">476-type signatures to </w:t>
      </w:r>
      <w:r>
        <w:rPr/>
        <w:t>8</w:t>
      </w:r>
      <w:r>
        <w:rPr>
          <w:rFonts w:hint="eastAsia"/>
        </w:rPr>
        <w:t>9-type</w:t>
      </w:r>
      <w:r>
        <w:rPr/>
        <w:t xml:space="preserve"> signatures </w:t>
      </w:r>
      <w:r>
        <w:rPr/>
        <w:t>by collapsing the 476-type signatures to 89-type signatures by combining mutation proportions according the grouping relationship between the 476-type classification and the 89-type classification. We also mapped the mutational signatures based on the 83-type classification to signatures in the other two classifications</w:t>
      </w:r>
      <w:r>
        <w:rPr/>
        <w:t xml:space="preserve"> based on tumor samples with high </w:t>
      </w:r>
      <w:r>
        <w:rPr/>
        <w:t xml:space="preserve">cosine similarities to </w:t>
      </w:r>
      <w:r>
        <w:rPr/>
        <w:t>signature</w:t>
      </w:r>
      <w:r>
        <w:rPr/>
        <w:t>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w:t>
      </w:r>
      <w:r>
        <w:rPr>
          <w:shd w:fill="FFFF00" w:val="clear"/>
        </w:rPr>
        <w:t>providing insights into their underlying mutational processes &lt;</w:t>
      </w:r>
      <w:r>
        <w:rPr>
          <w:shd w:fill="FFFF00" w:val="clear"/>
        </w:rPr>
        <w:t>are these really in the paper?&gt;</w:t>
      </w:r>
      <w:r>
        <w:rPr/>
        <w:t xml:space="preserve">. </w:t>
      </w:r>
      <w:r>
        <w:rPr/>
        <w:t xml:space="preserve">We also tallied </w:t>
      </w:r>
      <w:r>
        <w:rPr>
          <w:shd w:fill="FFFF00" w:val="clear"/>
        </w:rPr>
        <w:t xml:space="preserve">their contributions to key cancer genes, associations to SBSs and to sex within a given cancer type. </w:t>
      </w:r>
      <w:r>
        <w:rPr>
          <w:shd w:fill="FFFF00" w:val="clear"/>
        </w:rPr>
        <w:t xml:space="preserve">In addition to the information provided here we also </w:t>
      </w:r>
      <w:r>
        <w:rPr>
          <w:shd w:fill="FFFF00" w:val="clear"/>
        </w:rPr>
        <w:t>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extracted signatures from somatic indels spectra from a total of 6,975 cancer genomes encompassing 32 cancer types  (spectra in Supplementary Tables S</w:t>
      </w:r>
      <w:r>
        <w:rPr>
          <w:rFonts w:hint="eastAsia"/>
        </w:rPr>
        <w:t>8 and S9 – need 83, 89, and 476 spectra)</w:t>
      </w:r>
      <w:r>
        <w:rPr/>
        <w:t xml:space="preserve">.  </w:t>
      </w:r>
    </w:p>
    <w:p>
      <w:pPr>
        <w:pStyle w:val="normalfirst"/>
        <w:rPr>
          <w:shd w:fill="FFFF00" w:val="clear"/>
        </w:rPr>
      </w:pPr>
      <w:r>
        <w:rPr>
          <w:shd w:fill="FFFF00" w:val="clear"/>
        </w:rPr>
        <w:t xml:space="preserve">We extracted indel signatures in the 83, 89, 476-type classification schemes using mSigHdp, a method based on hierarchical Dirichlet processes </w:t>
      </w:r>
      <w:r>
        <w:rPr/>
        <w:t xml:space="preserve"> </w:t>
      </w:r>
      <w:r>
        <w:fldChar w:fldCharType="begin"/>
      </w:r>
      <w: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r>
      <w:r>
        <w:rPr/>
        <w:fldChar w:fldCharType="separate"/>
      </w:r>
      <w:r>
        <w:rPr/>
        <w:t>(Liu et al. 2023)</w:t>
      </w:r>
      <w:r>
        <w:rPr/>
      </w:r>
      <w:r>
        <w:rPr/>
        <w:fldChar w:fldCharType="end"/>
      </w:r>
      <w:r>
        <w:rPr>
          <w:shd w:fill="FFFF00" w:val="clear"/>
        </w:rPr>
        <w:t xml:space="preserve">, and </w:t>
      </w:r>
      <w:r>
        <w:rPr/>
        <w:t xml:space="preserve">SigProfilerExtractor (SigPro), a method based on non-negative matrix factorization </w:t>
      </w:r>
      <w:r>
        <w:fldChar w:fldCharType="begin"/>
      </w:r>
      <w: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r>
      <w:r>
        <w:rPr/>
        <w:fldChar w:fldCharType="separate"/>
      </w:r>
      <w:r>
        <w:rPr/>
        <w:t>(Islam et al. 2022)</w:t>
      </w:r>
      <w:r>
        <w:rPr/>
      </w:r>
      <w:r>
        <w:rPr/>
        <w:fldChar w:fldCharType="end"/>
      </w:r>
      <w:r>
        <w:rPr/>
        <w:t>.</w:t>
      </w:r>
    </w:p>
    <w:p>
      <w:pPr>
        <w:pStyle w:val="normalfirst"/>
        <w:rPr>
          <w:shd w:fill="FFFF00" w:val="clear"/>
        </w:rPr>
      </w:pPr>
      <w:r>
        <w:rPr/>
        <w:t xml:space="preserve">The extracted signatures were broadly consistent between the two methods </w:t>
      </w:r>
      <w:r>
        <w:rPr>
          <w:shd w:fill="FFFF00" w:val="clear"/>
        </w:rPr>
        <w:t xml:space="preserve">see table 1, our web page, and details in table S12 and &lt;elsewhere&gt;, including our web page), </w:t>
      </w:r>
    </w:p>
    <w:p>
      <w:pPr>
        <w:pStyle w:val="normalfirst"/>
        <w:rPr/>
      </w:pPr>
      <w:r>
        <w:rPr/>
        <w:tab/>
        <w:t>We identified a comprehensive set of 45 &lt;now 47?&gt; mutational signatures in the 89-type classification scheme, of which XX were previously unreported, and 33 signatures in the 83-type classification of which XXX were previously unreported &lt;cite musical and cosmic&gt;</w:t>
      </w:r>
      <w:r>
        <w:rPr>
          <w:rFonts w:hint="eastAsia"/>
        </w:rPr>
        <w:t xml:space="preserve"> (Figures 2, 3, and Table 1)</w:t>
      </w:r>
      <w:r>
        <w:rPr/>
        <w:t>.  XXX in 476-type classification.</w:t>
      </w:r>
    </w:p>
    <w:p>
      <w:pPr>
        <w:pStyle w:val="normalfirst"/>
        <w:rPr/>
      </w:pPr>
      <w:r>
        <w:rPr/>
        <w:tab/>
        <w:t>We compared the extracted 83-type signatures to XXXXXX COSMIC and Jin et al.  re-identified signatures similar to 18 of 83-type signatures in COSMIC v3.5 (</w:t>
      </w:r>
      <w:r>
        <w:rPr>
          <w:rFonts w:hint="eastAsia"/>
        </w:rPr>
        <w:t>C_ID1 to C_ID23 in Figure2)</w:t>
      </w:r>
      <w:r>
        <w:rPr/>
        <w:t>. &lt;Jin et al signatures&gt; The signatures that were not detected were (I) ID15 and ID16, which were seen in 2 and 1 tumors, respectively in a non-PCAWG data set &lt;ref Alexandrov 2020&gt; ;  ID20, ID21, ID22 reported in a preprint without details of where these were detected and ID24, ID25 &lt;</w:t>
      </w:r>
      <w:hyperlink r:id="rId4">
        <w:r>
          <w:rPr>
            <w:rStyle w:val="Hyperlink"/>
          </w:rPr>
          <w:t>https://www.nature.com/articles/s41586-025-09025-8</w:t>
        </w:r>
      </w:hyperlink>
      <w:r>
        <w:rPr/>
        <w:t xml:space="preserve">&gt;, </w:t>
      </w:r>
      <w:hyperlink r:id="rId5">
        <w:r>
          <w:rPr>
            <w:rStyle w:val="Hyperlink"/>
          </w:rPr>
          <w:t>https://www.medrxiv.org/content/10.1101/2023.06.07.23290970v1</w:t>
        </w:r>
      </w:hyperlink>
      <w:r>
        <w:rPr/>
        <w:t>&gt; https://www.biorxiv.org/content/10.1101/2025.03.14.643063v1 The ability of mSigHdp &lt;and Sigprofiler?&gt; to recover all COSMIC signatures present in PCAWG highlights its robustness for mutational signature analysis.</w:t>
      </w:r>
    </w:p>
    <w:p>
      <w:pPr>
        <w:pStyle w:val="normalfirst"/>
        <w:rPr/>
      </w:pPr>
      <w:r>
        <w:rPr/>
        <w:t>We compared the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rPr/>
        <w:t xml:space="preserve">). Beyond the signatures reported by Koh et al., we identified 23 new 89-type signatures. Of these,  12 map to 83-type signatures, 10 correspond to the novel 83-type signatures, and one does not align with any 83-type signature </w:t>
      </w:r>
      <w:r>
        <w:rPr>
          <w:shd w:fill="FFFF00" w:val="clear"/>
        </w:rPr>
        <w:t>&lt;Is this still true? I don’t see it in table 1&gt;</w:t>
      </w:r>
      <w:r>
        <w:rPr>
          <w:rFonts w:hint="eastAsia"/>
        </w:rPr>
        <w:t xml:space="preserve"> (Table 1)</w:t>
      </w:r>
      <w:r>
        <w:rPr/>
        <w:t>.</w:t>
      </w:r>
    </w:p>
    <w:p>
      <w:pPr>
        <w:pStyle w:val="normalfirst"/>
        <w:rPr>
          <w:shd w:fill="FFFF00" w:val="clear"/>
        </w:rPr>
      </w:pPr>
      <w:r>
        <w:rPr>
          <w:shd w:fill="FFFF00" w:val="clear"/>
        </w:rPr>
      </w:r>
    </w:p>
    <w:p>
      <w:pPr>
        <w:pStyle w:val="normalfirst"/>
        <w:rPr>
          <w:shd w:fill="FFFF00" w:val="clear"/>
        </w:rPr>
      </w:pPr>
      <w:r>
        <w:rPr/>
        <w:t>We established correspondences between the 3 classifications by identifying tumor spectra dominated by the signatures (Table 1, Supplementary File 1 &lt;the vignettes&gt;). It was often useful to use the signatures in all 3 classifications to clarify which signatures were well supported</w:t>
      </w:r>
    </w:p>
    <w:p>
      <w:pPr>
        <w:pStyle w:val="normalfirst"/>
        <w:rPr/>
      </w:pPr>
      <w:r>
        <w:rPr/>
      </w:r>
    </w:p>
    <w:p>
      <w:pPr>
        <w:pStyle w:val="normalfirst"/>
        <w:rPr/>
      </w:pPr>
      <w:r>
        <w:rPr/>
      </w:r>
    </w:p>
    <w:p>
      <w:pPr>
        <w:pStyle w:val="normalfirst"/>
        <w:rPr/>
      </w:pPr>
      <w:r>
        <w:rPr/>
      </w:r>
    </w:p>
    <w:p>
      <w:pPr>
        <w:pStyle w:val="Normal"/>
        <w:rPr/>
      </w:pPr>
      <w:r>
        <w:rPr/>
      </w:r>
    </w:p>
    <w:p>
      <w:pPr>
        <w:pStyle w:val="Normal"/>
        <w:rPr/>
      </w:pPr>
      <w:r>
        <w:rPr/>
      </w:r>
    </w:p>
    <w:p>
      <w:pPr>
        <w:pStyle w:val="Normal"/>
        <w:rPr/>
      </w:pPr>
      <w:r>
        <w:rPr/>
        <w:t>Notably, there were nuanced differences between some COSMIC signatures and those extracted by mSigHdp, with our mSigHdp-derived signatures often providing more biologically plausible characterizations: ID9 (see code repo)</w:t>
      </w:r>
    </w:p>
    <w:p>
      <w:pPr>
        <w:pStyle w:val="Normal"/>
        <w:rPr/>
      </w:pPr>
      <w:r>
        <w:rPr/>
      </w:r>
    </w:p>
    <w:p>
      <w:pPr>
        <w:pStyle w:val="Normal"/>
        <w:rPr/>
      </w:pPr>
      <w:r>
        <w:rPr>
          <w:rFonts w:hint="eastAsia"/>
        </w:rPr>
        <w:t>&lt;moved to temp docInsdel_5_and_8_discussion.docx for rewriting&gt;</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xml:space="preserve">, cosine similarity = 0.982). </w:t>
      </w:r>
      <w:r>
        <w:rPr>
          <w:shd w:fill="FFFF00" w:val="clear"/>
        </w:rPr>
        <w:t xml:space="preserve"> &lt;How did we get ID_TOP2A in first place? Do we need to look at the original data in 87 and 476 type&gt;</w:t>
      </w:r>
    </w:p>
    <w:p>
      <w:pPr>
        <w:pStyle w:val="Heading2"/>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InsDelx24b/InsDel_Aβ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Hx_ID33/ID_J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Hx_ID33/ID_J</w:t>
      </w:r>
      <w:r>
        <w:rPr/>
        <w:t xml:space="preserve"> and </w:t>
      </w:r>
      <w:r>
        <w:rPr>
          <w:shd w:fill="FFFF00" w:val="clear"/>
        </w:rPr>
        <w:t>Hx_ID37/ID_N</w:t>
      </w:r>
      <w:r>
        <w:rPr/>
        <w:t xml:space="preserve"> (</w:t>
      </w:r>
      <w:r>
        <w:rPr>
          <w:shd w:fill="FFFF00" w:val="clear"/>
        </w:rPr>
        <w:t>InsDelx33&lt;fix&gt; &lt;InsDel_J or InsDel_N?&gt;</w:t>
      </w:r>
      <w:r>
        <w:rPr>
          <w:rFonts w:hint="eastAsia"/>
        </w:rPr>
        <w:t>, Figure 7C</w:t>
      </w:r>
      <w:r>
        <w:rPr/>
        <w:t xml:space="preserve">), </w:t>
      </w:r>
      <w:r>
        <w:rPr>
          <w:shd w:fill="FFFF00" w:val="clear"/>
        </w:rPr>
        <w:t>Hx_ID34/ID_K</w:t>
      </w:r>
      <w:r>
        <w:rPr/>
        <w:t xml:space="preserve"> </w:t>
      </w:r>
      <w:r>
        <w:rPr>
          <w:shd w:fill="FFFF00" w:val="clear"/>
        </w:rPr>
        <w:t>(InsxDel34</w:t>
      </w:r>
      <w:r>
        <w:rPr>
          <w:rFonts w:hint="eastAsia"/>
          <w:shd w:fill="FFFF00" w:val="clear"/>
        </w:rPr>
        <w:t>, InsDel_Kα/InsDel_Kβ?&gt;</w:t>
      </w:r>
      <w:r>
        <w:rPr>
          <w:rFonts w:hint="eastAsia"/>
        </w:rPr>
        <w:t>Figure 7D</w:t>
      </w:r>
      <w:r>
        <w:rPr/>
        <w:t xml:space="preserve">), and </w:t>
      </w:r>
      <w:r>
        <w:rPr>
          <w:shd w:fill="FFFF00" w:val="clear"/>
        </w:rPr>
        <w:t>Hx_ID38/ID_O (InsDelx38/InsDel_O)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Hx_ID33/ID_J</w:t>
      </w:r>
      <w:r>
        <w:rPr/>
        <w:t xml:space="preserve"> predominantly reflects TT deletions from 4–5 TT repeats, while Hx_ID37/ID_N is associated with TTT deletions from 3 TTT repeats (Figure S</w:t>
      </w:r>
      <w:r>
        <w:rPr>
          <w:rFonts w:hint="eastAsia"/>
        </w:rPr>
        <w:t>6D&amp;E</w:t>
      </w:r>
      <w:r>
        <w:rPr/>
        <w:t>). Although Hx_ID33/ID_J and Hx_ID37/ID_N both describe similar patterns, Hx_ID37/ID_N is found exclusively in tumors with high C_ID2 activity, whereas Hx_ID33/ID_J more commonly co-occurs with C_ID2 (Figure S</w:t>
      </w:r>
      <w:r>
        <w:rPr>
          <w:rFonts w:hint="eastAsia"/>
        </w:rPr>
        <w:t>6C</w:t>
      </w:r>
      <w:r>
        <w:rPr/>
        <w:t>). Analysis of the corresponding 89-type signatures revealed that InsDelx33&lt;fix&gt; captures the deletion patterns of both Hx_ID33/ID_J and Hx_ID37/ID_N, characterized by a predominant peak at ‘L(2, ):U(1,2):R(5,9)’. Further examination showed that tumors with high Hx_ID33/ID_J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rPr/>
      </w:pPr>
      <w:r>
        <w:rPr/>
        <w:t xml:space="preserve">Functional and Demographic Associations </w:t>
      </w:r>
    </w:p>
    <w:p>
      <w:pPr>
        <w:pStyle w:val="Normal"/>
        <w:rPr/>
      </w:pPr>
      <w:r>
        <w:rPr>
          <w:shd w:fill="FFFF00" w:val="clear"/>
        </w:rPr>
        <w:t>&lt;</w:t>
      </w:r>
      <w:r>
        <w:rPr>
          <w:shd w:fill="FFFF00" w:val="clear"/>
        </w:rPr>
        <w:t>this section is related to figure 9 and sup fig 10 which mo will remove&gt;</w:t>
      </w: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r>
        <w:rPr>
          <w:rFonts w:hint="eastAsia"/>
          <w:shd w:fill="FFFF00" w:val="clear"/>
        </w:rPr>
        <w:t>&lt;</w:t>
      </w:r>
      <w:r>
        <w:rPr>
          <w:rFonts w:hint="eastAsia"/>
          <w:shd w:fill="FFFF00" w:val="clear"/>
        </w:rPr>
        <w:t>end of</w:t>
      </w:r>
      <w:r>
        <w:rPr>
          <w:rFonts w:hint="eastAsia"/>
          <w:shd w:fill="FFFF00" w:val="clear"/>
        </w:rPr>
        <w:t xml:space="preserve"> section is related to figure 9 and sup fig 10 which mo will remove&gt;</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r>
    </w:p>
    <w:p>
      <w:pPr>
        <w:pStyle w:val="Normal"/>
        <w:rPr/>
      </w:pPr>
      <w:r>
        <w:rPr/>
      </w:r>
    </w:p>
    <w:p>
      <w:pPr>
        <w:pStyle w:val="Normal"/>
        <w:rPr/>
      </w:pPr>
      <w:r>
        <w:rPr/>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hanging="0"/>
        <w:rPr/>
      </w:pPr>
      <w:r>
        <w:rPr/>
        <w:t>Somatic indel calls from the ICGC/TCGA (International Cancer Genome Consortium/The Cancer Genome Atlas) Pan-Cancer Analysis of Whole Genomes Consortium and associated clinical characteristics were obtained from the ICGC data portal (</w:t>
      </w:r>
      <w:hyperlink r:id="rId6">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7">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rPr/>
      </w:pPr>
      <w:r>
        <w:rPr/>
        <w:t>Simulating synthetic cancer datasets</w:t>
      </w:r>
    </w:p>
    <w:p>
      <w:pPr>
        <w:pStyle w:val="normalfirst"/>
        <w:rPr/>
      </w:pPr>
      <w:r>
        <w:rPr/>
        <w:t>Synthetic cancer datasets were simulated using SigProfilerSimulator (</w:t>
      </w:r>
      <w:hyperlink r:id="rId8">
        <w:r>
          <w:rPr>
            <w:rStyle w:val="Hyperlink"/>
          </w:rPr>
          <w:t>https://bmcbioinformatics.biomedcentral.com/articles/10.1186/s12859-020-03772-3</w:t>
        </w:r>
      </w:hyperlink>
      <w:r>
        <w:rPr/>
        <w:t xml:space="preserve">). </w:t>
      </w:r>
    </w:p>
    <w:p>
      <w:pPr>
        <w:pStyle w:val="Heading2"/>
        <w:rPr/>
      </w:pPr>
      <w:r>
        <w:rPr/>
        <w:t>Annotating somatic indels based on transcribed versus un-transcribed strand</w:t>
      </w:r>
    </w:p>
    <w:p>
      <w:pPr>
        <w:pStyle w:val="normalfirst"/>
        <w:rPr/>
      </w:pPr>
      <w:r>
        <w:rPr/>
        <w:t>We followed the method in (</w:t>
      </w:r>
      <w:hyperlink r:id="rId9">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10">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pPr>
      <w:r>
        <w:rPr/>
        <w:t>Analyses of replication timing across cancer types</w:t>
      </w:r>
    </w:p>
    <w:p>
      <w:pPr>
        <w:pStyle w:val="normalfirst"/>
        <w:rPr/>
      </w:pPr>
      <w:r>
        <w:rPr/>
        <w:t>Replication timing data were obtained from (</w:t>
      </w:r>
      <w:hyperlink r:id="rId11">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t>Acknowledgment</w:t>
      </w:r>
    </w:p>
    <w:p>
      <w:pPr>
        <w:pStyle w:val="normalfirst"/>
        <w:rPr/>
      </w:pPr>
      <w:r>
        <w:rPr>
          <w:rFonts w:hint="eastAsia"/>
        </w:rPr>
        <w:t xml:space="preserve">We thank Shang Li for providing plasmids for generating CRISPR knockout clones. </w:t>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2"/>
      <w:footerReference w:type="default" r:id="rId13"/>
      <w:footerReference w:type="first" r:id="rId1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Courier New">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Courier New">
    <w:charset w:val="01"/>
    <w:family w:val="roman"/>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r>
      <w:rPr/>
      <w:t xml:space="preserve">Page </w:t>
    </w:r>
    <w:r>
      <w:rPr/>
      <w:fldChar w:fldCharType="begin"/>
    </w:r>
    <w:r>
      <w:rPr/>
      <w:instrText xml:space="preserve"> PAGE </w:instrText>
    </w:r>
    <w:r>
      <w:rPr/>
      <w:fldChar w:fldCharType="separate"/>
    </w:r>
    <w:r>
      <w:rPr/>
      <w:t>35</w:t>
    </w:r>
    <w:r>
      <w:rPr/>
      <w:fldChar w:fldCharType="end"/>
    </w:r>
  </w:p>
</w:ftr>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lef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lef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lef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www.nature.com/articles/s41586-025-09025-8" TargetMode="External"/><Relationship Id="rId5" Type="http://schemas.openxmlformats.org/officeDocument/2006/relationships/hyperlink" Target="https://www.medrxiv.org/content/10.1101/2023.06.07.23290970v1" TargetMode="External"/><Relationship Id="rId6" Type="http://schemas.openxmlformats.org/officeDocument/2006/relationships/hyperlink" Target="https://dcc.icgc.org/releases/current/Projects/" TargetMode="External"/><Relationship Id="rId7" Type="http://schemas.openxmlformats.org/officeDocument/2006/relationships/hyperlink" Target="https://cancer.sanger.ac.uk/cosmic/census?tier=1" TargetMode="External"/><Relationship Id="rId8" Type="http://schemas.openxmlformats.org/officeDocument/2006/relationships/hyperlink" Target="https://bmcbioinformatics.biomedcentral.com/articles/10.1186/s12859-020-03772-3" TargetMode="External"/><Relationship Id="rId9" Type="http://schemas.openxmlformats.org/officeDocument/2006/relationships/hyperlink" Target="https://doi.org/10.1016/j.celrep.2023.112930" TargetMode="External"/><Relationship Id="rId10" Type="http://schemas.openxmlformats.org/officeDocument/2006/relationships/hyperlink" Target="https://hgdownload.cse.ucsc.edu/goldenPath/hg19/encodeDCC/wgEncodeUwRepliSeq/" TargetMode="External"/><Relationship Id="rId11" Type="http://schemas.openxmlformats.org/officeDocument/2006/relationships/hyperlink" Target="https://genomebiology.biomedcentral.com/articles/10.1186/s13059-018-1509-y"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117</TotalTime>
  <Application>LibreOffice/25.8.4.2$Linux_X86_64 LibreOffice_project/580$Build-2</Application>
  <AppVersion>15.0000</AppVersion>
  <Pages>35</Pages>
  <Words>8852</Words>
  <Characters>54149</Characters>
  <CharactersWithSpaces>62863</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2026-01-11T13:09:00Z</dcterms:created>
  <dc:creator>Mo Liu</dc:creator>
  <dc:description/>
  <dc:language>en-US</dc:language>
  <cp:lastModifiedBy/>
  <cp:lastPrinted>2025-06-06T09:23:00Z</cp:lastPrinted>
  <dcterms:modified xsi:type="dcterms:W3CDTF">2026-01-16T20:45:34Z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