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w:t>
      </w:r>
      <w:r>
        <w:rPr>
          <w:rFonts w:hint="eastAsia"/>
        </w:rPr>
        <w:t>2</w:t>
      </w:r>
      <w:r>
        <w:rPr>
          <w:rFonts w:hint="eastAsia"/>
        </w:rPr>
        <w:t>*,</w:t>
      </w:r>
      <w:r>
        <w:rPr/>
        <w:t xml:space="preserve"> Xue Ming Wu1, Qi Zheng</w:t>
      </w:r>
      <w:r>
        <w:rPr>
          <w:rFonts w:hint="eastAsia"/>
        </w:rPr>
        <w:t xml:space="preserve">1, </w:t>
      </w:r>
      <w:r>
        <w:rPr/>
        <w:t>Runtian Yao</w:t>
      </w:r>
      <w:r>
        <w:rPr>
          <w:rFonts w:hint="eastAsia"/>
        </w:rPr>
        <w:t>2</w:t>
      </w:r>
      <w:r>
        <w:rPr/>
        <w:t xml:space="preserve">, </w:t>
      </w:r>
      <w:r>
        <w:rPr>
          <w:rFonts w:hint="eastAsia"/>
        </w:rPr>
        <w:t>Ying Yang1, Runxi Shen</w:t>
      </w:r>
      <w:r>
        <w:rPr>
          <w:rFonts w:hint="eastAsia"/>
        </w:rPr>
        <w:t>3</w:t>
      </w:r>
      <w:r>
        <w:rPr>
          <w:rFonts w:hint="eastAsia"/>
        </w:rPr>
        <w:t xml:space="preserve">, </w:t>
      </w:r>
      <w:r>
        <w:rPr/>
        <w:t>Steven G. Rozen</w:t>
      </w:r>
      <w:r>
        <w:rPr/>
        <w:t>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rFonts w:hint="eastAsia"/>
        </w:rPr>
        <w:t xml:space="preserve">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3</w:t>
      </w:r>
      <w:r>
        <w:rPr>
          <w:rFonts w:hint="eastAsia"/>
        </w:rPr>
        <w:t xml:space="preserve">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replication strand of each signature, providing insights into their underlying mutational processes</w:t>
      </w:r>
      <w:r>
        <w:rPr>
          <w:shd w:fill="FFFF00" w:val="clear"/>
        </w:rPr>
        <w:t xml:space="preserve"> &lt;are these really in the paper?&gt;</w:t>
      </w:r>
      <w:r>
        <w:rPr/>
        <w:t xml:space="preserve">.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 xml:space="preserve">A novel ID-TOP1 signature </w:t>
      </w:r>
      <w:r>
        <w:rPr>
          <w:shd w:fill="FFFF00" w:val="clear"/>
        </w:rPr>
        <w:t>&lt;moved to a separate document for editing DO NOT EDIT THIS HERE&gt;</w:t>
      </w:r>
    </w:p>
    <w:p>
      <w:pPr>
        <w:pStyle w:val="Normal"/>
        <w:rPr>
          <w:strike/>
        </w:rPr>
      </w:pPr>
      <w:r>
        <w:rPr>
          <w:strike/>
        </w:rPr>
        <w:t xml:space="preserve">We identified a novel pair of mutational signatures, ID_F and InsDel_F,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fill="FFFF00" w:val="clear"/>
        </w:rPr>
        <w:t xml:space="preserve">&lt;steve soften this&gt; </w:t>
      </w:r>
      <w:r>
        <w:rPr>
          <w:strike/>
        </w:rPr>
        <w:t xml:space="preserve">and frequently misclassified ID4 as generated by ID-TOP1-TAM </w:t>
      </w:r>
      <w:bookmarkStart w:id="18" w:name="ZOTERO_BREF_xeDB1zkV4c3y"/>
      <w:r>
        <w:rPr>
          <w:strike/>
        </w:rPr>
        <w:t>(Jin et al. 2024; Koh et al. 2025a; Reijns et al. 2022)</w:t>
      </w:r>
      <w:bookmarkEnd w:id="18"/>
      <w:r>
        <w:rPr>
          <w:strike/>
        </w:rP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L(3,):U(3,):R(2,9)</w:t>
      </w:r>
      <w:r>
        <w:rPr>
          <w:strike/>
        </w:rPr>
        <w:t xml:space="preserve">, while InsDelx29/InsDel_F is dominated by the peak at </w:t>
      </w:r>
      <w:r>
        <w:rPr>
          <w:i/>
          <w:iCs/>
          <w:strike/>
        </w:rPr>
        <w:t>L(2,8):U(1,2):R(2,4)</w:t>
      </w:r>
      <w:r>
        <w:rPr>
          <w:strike/>
        </w:rPr>
        <w:t>.</w:t>
      </w:r>
    </w:p>
    <w:p>
      <w:pPr>
        <w:pStyle w:val="Normal"/>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similar to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fill="FFD8CE" w:val="clear"/>
        </w:rPr>
        <w:t>We established an RNASEH2B deficiency model using the CRISPR/Cas9 system in the HEK293T cell line, and whole genome sequencing revealed patterns consistent with Hx_ID29/ID_F</w:t>
      </w:r>
      <w:r>
        <w:rPr>
          <w:rFonts w:hint="eastAsia"/>
          <w:strike/>
          <w:shd w:fill="FFD8CE" w:val="clear"/>
        </w:rPr>
        <w:t xml:space="preserve"> and InsDelx29/InsDel_F</w:t>
      </w:r>
      <w:r>
        <w:rPr>
          <w:strike/>
          <w:shd w:fill="FFD8CE" w:val="clear"/>
        </w:rPr>
        <w:t xml:space="preserve"> (Figure </w:t>
      </w:r>
      <w:r>
        <w:rPr>
          <w:rFonts w:hint="eastAsia"/>
          <w:strike/>
          <w:shd w:fill="FFD8CE" w:val="clear"/>
        </w:rPr>
        <w:t>8B</w:t>
      </w:r>
      <w:r>
        <w:rPr>
          <w:strike/>
          <w:shd w:fill="FFD8CE" w:val="clear"/>
        </w:rPr>
        <w:t>).</w:t>
      </w:r>
      <w:r>
        <w:rPr>
          <w:strike/>
        </w:rPr>
        <w:t xml:space="preserve"> The primary peak predominantly represents the deletion of CT from 5’-CTCT-3’ (or AG from 5’-AGAG-3’),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CTCT(deletion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In contrast, C_ID4 displays a more balanced preference for deleting CT 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pPr>
        <w:pStyle w:val="Normal"/>
        <w:rPr>
          <w:strike/>
        </w:rPr>
      </w:pPr>
      <w:r>
        <w:rPr>
          <w:strike/>
        </w:rPr>
        <w:t xml:space="preserve">Collectively, </w:t>
      </w:r>
      <w:r>
        <w:rPr>
          <w:rFonts w:hint="eastAsia"/>
          <w:strike/>
        </w:rPr>
        <w:t>our analysis</w:t>
      </w:r>
      <w:r>
        <w:rPr>
          <w:strike/>
        </w:rPr>
        <w:t xml:space="preserve"> presents ID_F </w:t>
      </w:r>
      <w:r>
        <w:rPr>
          <w:rFonts w:hint="eastAsia"/>
          <w:strike/>
        </w:rPr>
        <w:t xml:space="preserve">and InsDel_F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length≥3) at repeats and microhomologies (Figure S6A). ID_F contributes to more mutations </w:t>
      </w:r>
      <w:r>
        <w:rPr>
          <w:strike/>
        </w:rPr>
        <w:t xml:space="preserve">in </w:t>
      </w:r>
      <w:r>
        <w:rPr>
          <w:rFonts w:hint="eastAsia"/>
          <w:strike/>
        </w:rPr>
        <w:t xml:space="preserve">transcribed regions compared to untranscribed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InsDel_F</w:t>
      </w:r>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fill="FFFF00" w:val="clear"/>
        </w:rPr>
        <w:t>&lt;these are not in the bibliography&gt;</w:t>
      </w:r>
      <w:r>
        <w:rPr>
          <w:strike/>
        </w:rPr>
        <w:t xml:space="preserve"> (S. N. Huang, Ghosh, and Pommier 2015; Sparks and Burgers 2015; Chon et al. 2009).</w:t>
      </w:r>
    </w:p>
    <w:p>
      <w:pPr>
        <w:pStyle w:val="Heading2"/>
        <w:rPr/>
      </w:pPr>
      <w:r>
        <w:rPr/>
        <w:t xml:space="preserve">Functional and Demographic Associations </w:t>
      </w:r>
    </w:p>
    <w:p>
      <w:pPr>
        <w:pStyle w:val="Normal"/>
        <w:rPr/>
      </w:pPr>
      <w:r>
        <w:rPr>
          <w:shd w:fill="FFFF00" w:val="clear"/>
        </w:rPr>
        <w:t>&lt;this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&lt;end of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LibreOffice/25.8.4.2$Linux_X86_64 LibreOffice_project/580$Build-2</Application>
  <AppVersion>15.0000</AppVersion>
  <Pages>35</Pages>
  <Words>8291</Words>
  <Characters>50818</Characters>
  <CharactersWithSpaces>58962</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2026-01-20T08:44:00Z</dcterms:created>
  <dc:creator>Mo Liu</dc:creator>
  <dc:description/>
  <dc:language>en-US</dc:language>
  <cp:lastModifiedBy/>
  <cp:lastPrinted>2025-06-06T09:23:00Z</cp:lastPrinted>
  <dcterms:modified xsi:type="dcterms:W3CDTF">2026-02-03T20:31:54Z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