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47 mutational signatures in the new 89-type classification and 45 corresponding signatures in the 476-type classification. Of these, to our knowledge, similar signatures were previously described for 18. Lossless algorithmic translation between signatures in the 83-type and the two new classification schemes is impossible. However, we leveraged tumor mutational spectra dominated by individual signatures to exhaustively elucidate the correspondences between signatures in the three classification schemes. However, the new classification schemes are in most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pPr>
        <w:pStyle w:val="normalfirst"/>
        <w:rPr/>
      </w:pPr>
      <w:r>
        <w:rPr/>
        <w:t>(Currently 252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rPr/>
        <w:t>(Davies et al. 2017)</w:t>
      </w:r>
      <w:bookmarkStart w:id="9" w:name="ZOTERO_BREF_0R4W6QbbYRxt"/>
      <w:bookmarkEnd w:id="8"/>
      <w:r>
        <w:rPr/>
        <w:t>(Koh et al. 2025b)</w:t>
      </w:r>
      <w:bookmarkStart w:id="10" w:name="ZOTERO_BREF_hhD988u0jN7V"/>
      <w:bookmarkEnd w:id="9"/>
      <w:r>
        <w:rPr/>
        <w:t>(Huang et al. 2015)</w:t>
      </w:r>
      <w:bookmarkEnd w:id="10"/>
      <w:r>
        <w:rPr/>
        <w:t xml:space="preserve"> and a rare indel hypermutator phenotype due to a mutation in topoisomerase 2 alpha </w:t>
      </w:r>
      <w:bookmarkStart w:id="11" w:name="ZOTERO_BREF_D2iecPnvmjdB"/>
      <w:r>
        <w:rPr/>
        <w:t>(Boot et al. 2022)</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bookmarkEnd w:id="11"/>
      <w:r>
        <w:rPr>
          <w:rStyle w:val="normalfirstChar"/>
        </w:rPr>
        <w:t xml:space="preserve">. </w:t>
      </w:r>
      <w:r>
        <w:rPr/>
        <w:t xml:space="preserve">Despite their importance, indel signatures have received less attention than SBS signatures. Symptomatic of this, COSMIC v3.5 catalogs 25 indel signatures compared to 78 SBS signatures.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2" w:name="ZOTERO_BREF_2bTJlJjriYWb"/>
      <w:r>
        <w:rPr/>
        <w:t>(Koh et al. 2025b)</w:t>
      </w:r>
      <w:r>
        <w:fldChar w:fldCharType="begin"/>
      </w:r>
      <w:r>
        <w:rPr/>
        <w:instrText xml:space="preserve">vnd.oasis.opendocument.field.UNHANDLED</w:instrText>
      </w:r>
      <w:r>
        <w:rPr/>
      </w:r>
      <w:r>
        <w:rPr/>
        <w:fldChar w:fldCharType="separate"/>
      </w:r>
      <w:r>
        <w:rPr/>
        <w:t>(Koh et al. 2025)</w:t>
      </w:r>
      <w:r>
        <w:rPr/>
      </w:r>
      <w:r>
        <w:rPr/>
        <w:fldChar w:fldCharType="end"/>
      </w:r>
      <w:bookmarkEnd w:id="12"/>
      <w:r>
        <w:rPr/>
        <w:t xml:space="preserve"> proposed two classification schemes, one with 89 types of indel and one with 476 types (Figure 1). </w:t>
      </w:r>
    </w:p>
    <w:p>
      <w:pPr>
        <w:pStyle w:val="Normal"/>
        <w:rPr/>
      </w:pPr>
      <w:r>
        <w:rP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rPr/>
        <w:t>(Koh et al. 2025a)</w:t>
      </w:r>
      <w:bookmarkEnd w:id="13"/>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Normal"/>
        <w:rPr/>
      </w:pP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t xml:space="preserve">using a method based on hierarchical Dirichlet processes  </w:t>
      </w:r>
      <w:bookmarkStart w:id="14" w:name="ZOTERO_BREF_sXKgi2ptdMXh"/>
      <w:r>
        <w:rPr/>
        <w:t>(Liu et al. 2023)</w:t>
      </w:r>
      <w:bookmarkEnd w:id="14"/>
      <w:r>
        <w:rPr/>
        <w:t xml:space="preserve">, and SigProfilerExtractor (SigPro), a method based on non-negative matrix factorization </w:t>
      </w:r>
      <w:bookmarkStart w:id="15" w:name="ZOTERO_BREF_Ax2rB3g50il2"/>
      <w:r>
        <w:rPr/>
        <w:t>(Islam et al. 2022)</w:t>
      </w:r>
      <w:bookmarkEnd w:id="15"/>
      <w:r>
        <w:rPr/>
        <w:t>. The extracted signatures were broadly consistent between the two methods (</w:t>
      </w:r>
      <w:r>
        <w:rPr>
          <w:shd w:fill="FFFF00" w:val="clear"/>
        </w:rPr>
        <w:t xml:space="preserve">see table 1, our web page, and details in table S12 and &lt;elsewhere&gt;, including our web page), </w:t>
      </w:r>
      <w:r>
        <w:rPr/>
        <w:t xml:space="preserve">We identified 47 mutational signatures in the new 89-type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fill="FFFF00" w:val="clear"/>
        </w:rPr>
        <w:t>35</w:t>
      </w:r>
      <w:r>
        <w:rPr/>
        <w:t xml:space="preserve"> of the 47 signatures we identified tumors with &gt; </w:t>
      </w:r>
      <w:r>
        <w:rPr>
          <w:shd w:fill="FFFF00" w:val="clear"/>
        </w:rPr>
        <w:t>0.95</w:t>
      </w:r>
      <w:r>
        <w:rPr/>
        <w:t xml:space="preserve"> cosine similarity and 41 had tumors with &gt; 0.90 similarity (Table 1). We then compared the spectra of these tumors in the 83-type classification to signatures identified in the 83-type classification, and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fill="FFFF00" w:val="clear"/>
        </w:rPr>
        <w:t>&lt;expand?&gt;</w:t>
      </w:r>
      <w:r>
        <w:rPr/>
        <w:t>.</w:t>
      </w:r>
    </w:p>
    <w:p>
      <w:pPr>
        <w:pStyle w:val="normalfirst"/>
        <w:rPr/>
      </w:pPr>
      <w:r>
        <w:rPr/>
        <w:tab/>
        <w:t>Of the 47 signatures identified in the 89-type classification, similar signatures were previously described for 18</w:t>
      </w:r>
      <w:r>
        <w:rPr>
          <w:shd w:fill="FFFF00" w:val="clear"/>
        </w:rPr>
        <w:t xml:space="preserve"> &lt;cite Koh 2925). 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pPr>
      <w:r>
        <w:rPr>
          <w:shd w:fill="FFFF00" w:val="clear"/>
        </w:rPr>
        <w:t>&lt;Mo to re-write this paragraph&gt;</w:t>
      </w:r>
      <w:r>
        <w:rPr/>
        <w:t xml:space="preserve"> 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bookmarkStart w:id="16" w:name="ZOTERO_BREF_Icd6wZN2C4n7"/>
      <w:r>
        <w:rPr/>
        <w:t>(Jiang et al. 2024)</w:t>
      </w:r>
      <w:bookmarkEnd w:id="16"/>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xml:space="preserve">). </w:t>
      </w:r>
    </w:p>
    <w:p>
      <w:pPr>
        <w:pStyle w:val="Normal"/>
        <w:rPr/>
      </w:pPr>
      <w:r>
        <w:rPr>
          <w:shd w:fill="FFFF00" w:val="clear"/>
        </w:rPr>
        <w:t>&lt;need to show this&gt; 8</w:t>
      </w:r>
      <w:r>
        <w:rPr/>
        <w:t>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left="0"/>
        <w:rPr>
          <w:i/>
          <w:iCs/>
          <w:sz w:val="24"/>
          <w:szCs w:val="24"/>
        </w:rPr>
      </w:pPr>
      <w:r>
        <w:rPr>
          <w:i/>
          <w:iCs/>
          <w:sz w:val="24"/>
          <w:szCs w:val="24"/>
        </w:rPr>
        <w:t>Associations between indel signatures and SBS signatures</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FFFF00" w:val="clear"/>
        </w:rPr>
        <w:t>InsDelx24b/InsDel_Aβ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Hx_ID33/ID_J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xml:space="preserve">) having enriched mutations on the un-transcribed strand, and two of them (C_ID7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bookmarkStart w:id="17" w:name="ZOTERO_BREF_HAsxUjHZcJ4v"/>
      <w:r>
        <w:rPr/>
        <w:t>(Martínez-Jiménez et al. 2023; Bavi et al. 2020)</w:t>
      </w:r>
      <w:bookmarkEnd w:id="17"/>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r>
    </w:p>
    <w:p>
      <w:pPr>
        <w:pStyle w:val="Normal"/>
        <w:rPr/>
      </w:pPr>
      <w:r>
        <w:rPr/>
        <w:t xml:space="preserve">2b 2c 7, J, Kbeta, N, O, </w:t>
      </w:r>
    </w:p>
    <w:p>
      <w:pPr>
        <w:pStyle w:val="Normal"/>
        <w:rPr/>
      </w:pPr>
      <w:r>
        <w:rPr/>
      </w:r>
    </w:p>
    <w:p>
      <w:pPr>
        <w:pStyle w:val="Normal"/>
        <w:rPr/>
      </w:pPr>
      <w:r>
        <w:rPr/>
        <w:t>look a pattern in longer dels in J and  O</w:t>
      </w:r>
    </w:p>
    <w:p>
      <w:pPr>
        <w:pStyle w:val="Normal"/>
        <w:rPr/>
      </w:pPr>
      <w:r>
        <w:rPr/>
      </w:r>
    </w:p>
    <w:p>
      <w:pPr>
        <w:pStyle w:val="Normal"/>
        <w:rPr/>
      </w:pPr>
      <w:r>
        <w:rPr/>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ID_J</w:t>
      </w:r>
      <w:r>
        <w:rPr/>
        <w:t xml:space="preserve"> and </w:t>
      </w:r>
      <w:r>
        <w:rPr>
          <w:shd w:fill="FFFF00" w:val="clear"/>
        </w:rPr>
        <w:t>ID_N</w:t>
      </w:r>
      <w:r>
        <w:rPr/>
        <w:t xml:space="preserve"> (</w:t>
      </w:r>
      <w:r>
        <w:rPr>
          <w:rFonts w:hint="eastAsia"/>
        </w:rPr>
        <w:t>Figure 7C</w:t>
      </w:r>
      <w:r>
        <w:rPr/>
        <w:t xml:space="preserve">), </w:t>
      </w:r>
      <w:r>
        <w:rPr>
          <w:shd w:fill="FFFF00" w:val="clear"/>
        </w:rPr>
        <w:t>ID_K</w:t>
      </w:r>
      <w:r>
        <w:rPr/>
        <w:t xml:space="preserve"> </w:t>
      </w:r>
      <w:r>
        <w:rPr>
          <w:shd w:fill="FFFF00" w:val="clear"/>
        </w:rPr>
        <w:t>(</w:t>
      </w:r>
      <w:r>
        <w:rPr>
          <w:rFonts w:hint="eastAsia"/>
          <w:shd w:fill="FFFF00" w:val="clear"/>
        </w:rPr>
        <w:t>InsDel_Kβ</w:t>
      </w:r>
      <w:r>
        <w:rPr>
          <w:rFonts w:hint="eastAsia"/>
        </w:rPr>
        <w:t>Figure 7D</w:t>
      </w:r>
      <w:r>
        <w:rPr/>
        <w:t xml:space="preserve">), </w:t>
      </w:r>
      <w:r>
        <w:rPr>
          <w:shd w:fill="FFFF00" w:val="clear"/>
        </w:rPr>
        <w:t>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ID_O</w:t>
      </w:r>
      <w:r>
        <w:rPr/>
        <w:t xml:space="preserve"> is mainly characterized by insertions—specifically 1 bp and 2 bp events at long repeats. This signature is associated with two scenarios: in samples with low C_ID2 activity, </w:t>
      </w:r>
      <w:r>
        <w:rPr>
          <w:shd w:fill="FFFF00" w:val="clear"/>
        </w:rPr>
        <w:t>ID_O</w:t>
      </w:r>
      <w:r>
        <w:rPr/>
        <w:t xml:space="preserve"> predominantly involves TT insertions; in samples with low, but not depleted, C_ID2 activity, </w:t>
      </w:r>
      <w:r>
        <w:rPr>
          <w:shd w:fill="FFFF00" w:val="clear"/>
        </w:rPr>
        <w:t>ID_O</w:t>
      </w:r>
      <w:r>
        <w:rPr/>
        <w:t xml:space="preserve"> shows a higher proportion of AT/TA insertions (Figure S</w:t>
      </w:r>
      <w:r>
        <w:rPr>
          <w:rFonts w:hint="eastAsia"/>
        </w:rPr>
        <w:t>6F</w:t>
      </w:r>
      <w:r>
        <w:rPr/>
        <w:t xml:space="preserve">). Among the five MSI-associated signatures, only </w:t>
      </w:r>
      <w:r>
        <w:rPr>
          <w:shd w:fill="FFFF00" w:val="clear"/>
        </w:rPr>
        <w:t>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pPr>
      <w:r>
        <w:rPr/>
        <w:t xml:space="preserve">A novel ID-TOP1 signature </w:t>
      </w:r>
      <w:r>
        <w:rPr>
          <w:shd w:fill="FFFF00" w:val="clear"/>
        </w:rPr>
        <w:t>&lt;moved to a separate document for editing DO NOT EDIT THIS HERE&gt;</w:t>
      </w:r>
    </w:p>
    <w:p>
      <w:pPr>
        <w:pStyle w:val="Normal"/>
        <w:rPr>
          <w:strike/>
        </w:rPr>
      </w:pPr>
      <w:r>
        <w:rPr>
          <w:strike/>
        </w:rPr>
        <w:t xml:space="preserve">We identified a novel pair of mutational signatures, ID_F and InsDel_F, both characterized by 1–3 bp deletions from two repeats or microhomology, with strong support from both PCAWG and HMF samples (Figure </w:t>
      </w:r>
      <w:r>
        <w:rPr>
          <w:rFonts w:hint="eastAsia"/>
          <w:strike/>
        </w:rPr>
        <w:t>8</w:t>
      </w:r>
      <w:r>
        <w:rPr>
          <w:strike/>
        </w:rPr>
        <w:t xml:space="preserve">A, </w:t>
      </w:r>
      <w:r>
        <w:rPr>
          <w:rFonts w:hint="eastAsia"/>
          <w:strike/>
        </w:rPr>
        <w:t>Figure S7</w:t>
      </w:r>
      <w:r>
        <w:rPr>
          <w:strike/>
        </w:rPr>
        <w:t>). Notably, two PCAWG samples exhibited high Hx_ID29/ID_F activity: a skin melanoma genome (SP103894) with 3,772 Hx_ID29/ID_F mutations, and a breast cancer genome (SP5559) with 949 ID_F mutations</w:t>
      </w:r>
      <w:r>
        <w:rPr>
          <w:rFonts w:hint="eastAsia"/>
          <w:strike/>
        </w:rPr>
        <w:t xml:space="preserve"> (Figure S7B)</w:t>
      </w:r>
      <w:r>
        <w:rPr>
          <w:strike/>
        </w:rPr>
        <w:t xml:space="preserve">. The inclusion of additional samples enabled the detection of these rare signatures within the PCAWG dataset. Importantly, previous analyses often failed to extract ID4 and ID_F simultaneously, </w:t>
      </w:r>
      <w:r>
        <w:rPr>
          <w:strike/>
          <w:shd w:fill="FFFF00" w:val="clear"/>
        </w:rPr>
        <w:t xml:space="preserve">&lt;steve soften this&gt; </w:t>
      </w:r>
      <w:r>
        <w:rPr>
          <w:strike/>
        </w:rPr>
        <w:t xml:space="preserve">and frequently misclassified ID4 as generated by ID-TOP1-TAM </w:t>
      </w:r>
      <w:bookmarkStart w:id="18" w:name="ZOTERO_BREF_xeDB1zkV4c3y"/>
      <w:r>
        <w:rPr>
          <w:strike/>
        </w:rPr>
        <w:t>(Jin et al. 2024; Koh et al. 2025a; Reijns et al. 2022)</w:t>
      </w:r>
      <w:bookmarkEnd w:id="18"/>
      <w:r>
        <w:rPr>
          <w:strike/>
        </w:rPr>
        <w:t xml:space="preserve">. Here, for the first time, we identified C_ID4 and ID_F, along with their corresponding 89-type representations (InsDel4a, InsDel4b, and InsDel_F), using a de novo extraction approach. Compared to C_ID4, 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strike/>
        </w:rPr>
        <w:t>L(3,):U(3,):R(2,9)</w:t>
      </w:r>
      <w:r>
        <w:rPr>
          <w:strike/>
        </w:rPr>
        <w:t xml:space="preserve">, while InsDelx29/InsDel_F is dominated by the peak at </w:t>
      </w:r>
      <w:r>
        <w:rPr>
          <w:i/>
          <w:iCs/>
          <w:strike/>
        </w:rPr>
        <w:t>L(2,8):U(1,2):R(2,4)</w:t>
      </w:r>
      <w:r>
        <w:rPr>
          <w:strike/>
        </w:rPr>
        <w:t>.</w:t>
      </w:r>
    </w:p>
    <w:p>
      <w:pPr>
        <w:pStyle w:val="Normal"/>
        <w:rPr>
          <w:strike/>
        </w:rPr>
      </w:pPr>
      <w:r>
        <w:rPr>
          <w:strike/>
        </w:rPr>
        <w:t>Because 89-type analysis is currently limited to human genomes (Koh et al., 2025), and due to the strong resemblance between InDel29 and InDel4a</w:t>
      </w:r>
      <w:r>
        <w:rPr>
          <w:rFonts w:hint="eastAsia"/>
          <w:strike/>
        </w:rPr>
        <w:t>/4b</w:t>
      </w:r>
      <w:r>
        <w:rPr>
          <w:strike/>
        </w:rPr>
        <w:t xml:space="preserve"> and their corresponding </w:t>
      </w:r>
      <w:r>
        <w:rPr>
          <w:rFonts w:hint="eastAsia"/>
          <w:strike/>
        </w:rPr>
        <w:t>83-type</w:t>
      </w:r>
      <w:r>
        <w:rPr>
          <w:strike/>
        </w:rPr>
        <w:t xml:space="preserve"> signatures, we focused </w:t>
      </w:r>
      <w:r>
        <w:rPr>
          <w:rFonts w:hint="eastAsia"/>
          <w:strike/>
        </w:rPr>
        <w:t xml:space="preserve">most of </w:t>
      </w:r>
      <w:r>
        <w:rPr>
          <w:strike/>
        </w:rPr>
        <w:t>our subsequent analyses specifically on ID_F.</w:t>
      </w:r>
      <w:r>
        <w:rPr>
          <w:rFonts w:hint="eastAsia"/>
          <w:strike/>
        </w:rPr>
        <w:t xml:space="preserve"> </w:t>
      </w:r>
      <w:r>
        <w:rPr>
          <w:strike/>
        </w:rPr>
        <w:t>Upon re-examining the rnh201Δ</w:t>
      </w:r>
      <w:r>
        <w:rPr>
          <w:rFonts w:hint="eastAsia"/>
          <w:strike/>
        </w:rPr>
        <w:t xml:space="preserve"> </w:t>
      </w:r>
      <w:r>
        <w:rPr>
          <w:i/>
          <w:iCs/>
          <w:strike/>
        </w:rPr>
        <w:t>Saccharomyces cerevisiae</w:t>
      </w:r>
      <w:r>
        <w:rPr>
          <w:strike/>
        </w:rPr>
        <w:t xml:space="preserve"> genomes, we observed 2 bp deletion patterns similar to those of ID_F, although deletions within microhomology were depleted (Williams et al. 2019; Conover et al. 2015</w:t>
      </w:r>
      <w:r>
        <w:rPr>
          <w:rFonts w:hint="eastAsia"/>
          <w:strike/>
        </w:rPr>
        <w:t>, Figures S8</w:t>
      </w:r>
      <w:r>
        <w:rPr>
          <w:strike/>
        </w:rPr>
        <w:t>).</w:t>
      </w:r>
      <w:r>
        <w:rPr>
          <w:rFonts w:hint="eastAsia"/>
          <w:strike/>
        </w:rPr>
        <w:t xml:space="preserve"> </w:t>
      </w:r>
      <w:r>
        <w:rPr>
          <w:strike/>
          <w:shd w:fill="FFD8CE" w:val="clear"/>
        </w:rPr>
        <w:t>We established an RNASEH2B deficiency model using the CRISPR/Cas9 system in the HEK293T cell line, and whole genome sequencing revealed patterns consistent with Hx_ID29/ID_F</w:t>
      </w:r>
      <w:r>
        <w:rPr>
          <w:rFonts w:hint="eastAsia"/>
          <w:strike/>
          <w:shd w:fill="FFD8CE" w:val="clear"/>
        </w:rPr>
        <w:t xml:space="preserve"> and InsDelx29/InsDel_F</w:t>
      </w:r>
      <w:r>
        <w:rPr>
          <w:strike/>
          <w:shd w:fill="FFD8CE" w:val="clear"/>
        </w:rPr>
        <w:t xml:space="preserve"> (Figure </w:t>
      </w:r>
      <w:r>
        <w:rPr>
          <w:rFonts w:hint="eastAsia"/>
          <w:strike/>
          <w:shd w:fill="FFD8CE" w:val="clear"/>
        </w:rPr>
        <w:t>8B</w:t>
      </w:r>
      <w:r>
        <w:rPr>
          <w:strike/>
          <w:shd w:fill="FFD8CE" w:val="clear"/>
        </w:rPr>
        <w:t>).</w:t>
      </w:r>
      <w:r>
        <w:rPr>
          <w:strike/>
        </w:rPr>
        <w:t xml:space="preserve"> The primary peak predominantly represents the deletion of CT from 5’-CTCT-3’ (or AG from 5’-AGAG-3’), as indicated by the extended sequence analysis of RNASEH2B-KO cell lines and </w:t>
      </w:r>
      <w:r>
        <w:rPr>
          <w:rFonts w:hint="eastAsia"/>
          <w:strike/>
        </w:rPr>
        <w:t xml:space="preserve">the </w:t>
      </w:r>
      <w:r>
        <w:rPr>
          <w:strike/>
        </w:rPr>
        <w:t xml:space="preserve">five </w:t>
      </w:r>
      <w:r>
        <w:rPr>
          <w:rFonts w:hint="eastAsia"/>
          <w:strike/>
        </w:rPr>
        <w:t>genomes</w:t>
      </w:r>
      <w:r>
        <w:rPr>
          <w:strike/>
        </w:rPr>
        <w:t xml:space="preserve"> exhibiting the highest ID_F activity.</w:t>
      </w:r>
      <w:r>
        <w:rPr>
          <w:rFonts w:hint="eastAsia"/>
          <w:strike/>
        </w:rPr>
        <w:t xml:space="preserve"> The weights of each </w:t>
      </w:r>
      <w:r>
        <w:rPr>
          <w:strike/>
        </w:rPr>
        <w:t>nucleotide</w:t>
      </w:r>
      <w:r>
        <w:rPr>
          <w:rFonts w:hint="eastAsia"/>
          <w:strike/>
        </w:rPr>
        <w:t xml:space="preserve"> on each position </w:t>
      </w:r>
      <w:r>
        <w:rPr>
          <w:strike/>
        </w:rPr>
        <w:t>suggest</w:t>
      </w:r>
      <w:r>
        <w:rPr>
          <w:rFonts w:hint="eastAsia"/>
          <w:strike/>
        </w:rPr>
        <w:t xml:space="preserve"> a preference of CTCT(deletion from repeats) or NTNT (deletion with microhomology) sequences at deletion sites for ID_F, while NTNT (deletion from repeats) and CTNT (deletion from microhomology) at deletion sites for C_ID4 (Figure 8C). T</w:t>
      </w:r>
      <w:r>
        <w:rPr>
          <w:strike/>
        </w:rPr>
        <w:t>umors exhibiting high Hx_ID29/ID_F activity show deletion sequences that closely resemble those observed in RNASEH2B null HEK293T cells, as well as in Rnaseh2b knockout mouse tumors and RNaseH2</w:t>
      </w:r>
      <w:r>
        <w:rPr>
          <w:rFonts w:hint="eastAsia"/>
          <w:strike/>
        </w:rPr>
        <w:t>-</w:t>
      </w:r>
      <w:r>
        <w:rPr>
          <w:strike/>
        </w:rPr>
        <w:t>null RPE1 cells (Figure</w:t>
      </w:r>
      <w:r>
        <w:rPr>
          <w:rFonts w:hint="eastAsia"/>
          <w:strike/>
        </w:rPr>
        <w:t xml:space="preserve"> S6, Figure S9</w:t>
      </w:r>
      <w:r>
        <w:rPr>
          <w:strike/>
        </w:rPr>
        <w:t>). In contrast, C_ID4 displays a more balanced preference for deleting CT and TT within tandem repeats, with a prevalent CTNTN motif found in microhomologies (</w:t>
      </w:r>
      <w:r>
        <w:rPr>
          <w:rFonts w:hint="eastAsia"/>
          <w:strike/>
        </w:rPr>
        <w:t xml:space="preserve">Figure 8C, </w:t>
      </w:r>
      <w:r>
        <w:rPr>
          <w:strike/>
        </w:rPr>
        <w:t>Figure</w:t>
      </w:r>
      <w:r>
        <w:rPr>
          <w:rFonts w:hint="eastAsia"/>
          <w:strike/>
        </w:rPr>
        <w:t xml:space="preserve"> S9</w:t>
      </w:r>
      <w:r>
        <w:rPr>
          <w:strike/>
        </w:rPr>
        <w:t>).</w:t>
      </w:r>
    </w:p>
    <w:p>
      <w:pPr>
        <w:pStyle w:val="Normal"/>
        <w:rPr>
          <w:strike/>
        </w:rPr>
      </w:pPr>
      <w:r>
        <w:rPr>
          <w:strike/>
        </w:rPr>
        <w:t xml:space="preserve">Collectively, </w:t>
      </w:r>
      <w:r>
        <w:rPr>
          <w:rFonts w:hint="eastAsia"/>
          <w:strike/>
        </w:rPr>
        <w:t>our analysis</w:t>
      </w:r>
      <w:r>
        <w:rPr>
          <w:strike/>
        </w:rPr>
        <w:t xml:space="preserve"> presents ID_F </w:t>
      </w:r>
      <w:r>
        <w:rPr>
          <w:rFonts w:hint="eastAsia"/>
          <w:strike/>
        </w:rPr>
        <w:t xml:space="preserve">and InsDel_F </w:t>
      </w:r>
      <w:r>
        <w:rPr>
          <w:strike/>
        </w:rPr>
        <w:t xml:space="preserve">as </w:t>
      </w:r>
      <w:r>
        <w:rPr>
          <w:rFonts w:hint="eastAsia"/>
          <w:strike/>
        </w:rPr>
        <w:t>two</w:t>
      </w:r>
      <w:r>
        <w:rPr>
          <w:strike/>
        </w:rPr>
        <w:t xml:space="preserve"> novel mutational signatures identified through de novo extraction from cancer genomic dat</w:t>
      </w:r>
      <w:r>
        <w:rPr>
          <w:rFonts w:hint="eastAsia"/>
          <w:strike/>
        </w:rPr>
        <w:t>a, su</w:t>
      </w:r>
      <w:r>
        <w:rPr>
          <w:strike/>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strike/>
        </w:rPr>
        <w:t>, Figure S9B, C</w:t>
      </w:r>
      <w:r>
        <w:rPr>
          <w:strike/>
        </w:rPr>
        <w:t>). Our findings indicate that 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strike/>
        </w:rPr>
        <w:t>Figure S8 B-D</w:t>
      </w:r>
      <w:r>
        <w:rPr>
          <w:strike/>
        </w:rPr>
        <w:t xml:space="preserve">). </w:t>
      </w:r>
      <w:r>
        <w:rPr>
          <w:rFonts w:hint="eastAsia"/>
          <w:strike/>
        </w:rPr>
        <w:t xml:space="preserve">Compared to ID4, ID_F shows </w:t>
      </w:r>
      <w:r>
        <w:rPr>
          <w:strike/>
        </w:rPr>
        <w:t>an</w:t>
      </w:r>
      <w:r>
        <w:rPr>
          <w:rFonts w:hint="eastAsia"/>
          <w:strike/>
        </w:rPr>
        <w:t xml:space="preserve"> almost depletion of long deletions (deletion length≥3) at repeats and microhomologies (Figure S6A). ID_F contributes to more mutations </w:t>
      </w:r>
      <w:r>
        <w:rPr>
          <w:strike/>
        </w:rPr>
        <w:t xml:space="preserve">in </w:t>
      </w:r>
      <w:r>
        <w:rPr>
          <w:rFonts w:hint="eastAsia"/>
          <w:strike/>
        </w:rPr>
        <w:t xml:space="preserve">transcribed regions compared to untranscribed regions, which is also observed in RNase H2 null in vitro models (Figure 8D). The consistent observations </w:t>
      </w:r>
      <w:r>
        <w:rPr>
          <w:strike/>
        </w:rPr>
        <w:t>suggest</w:t>
      </w:r>
      <w:r>
        <w:rPr>
          <w:rFonts w:hint="eastAsia"/>
          <w:strike/>
        </w:rPr>
        <w:t xml:space="preserve"> ID_F is associated with a transcription associated mutational process. </w:t>
      </w:r>
      <w:r>
        <w:rPr>
          <w:strike/>
        </w:rPr>
        <w:t>ID_F</w:t>
      </w:r>
      <w:r>
        <w:rPr>
          <w:rFonts w:hint="eastAsia"/>
          <w:strike/>
        </w:rPr>
        <w:t xml:space="preserve"> and InsDel_F</w:t>
      </w:r>
      <w:r>
        <w:rPr>
          <w:strike/>
        </w:rPr>
        <w:t xml:space="preserve"> provides a more accurate representation of the genomic footprints associated with TOP1-TAM (transcription-associated mutagenesis) during the cleavage of embedded ribonucleotides in the absence of RNASEH2A and/or RNASEH2B </w:t>
      </w:r>
      <w:r>
        <w:rPr>
          <w:strike/>
          <w:shd w:fill="FFFF00" w:val="clear"/>
        </w:rPr>
        <w:t>&lt;these are not in the bibliography&gt;</w:t>
      </w:r>
      <w:r>
        <w:rPr>
          <w:strike/>
        </w:rPr>
        <w:t xml:space="preserve"> (S. N. Huang, Ghosh, and Pommier 2015; Sparks and Burgers 2015; Chon et al. 2009).</w:t>
      </w:r>
    </w:p>
    <w:p>
      <w:pPr>
        <w:pStyle w:val="Heading2"/>
        <w:rPr/>
      </w:pPr>
      <w:r>
        <w:rPr/>
        <w:t>Functional and Demographic Associations  &lt;was here, removed to separate doc functional_and_demographic.docx&gt; Are we keep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(Table 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6">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pPr>
        <w:pStyle w:val="normalfirst"/>
        <w:ind w:firstLineChars="200"/>
        <w:rPr/>
      </w:pPr>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9"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Bavi, Prashant, Stephen B. Baylin, Wojciech Bazant, et al. 2020. ‘Pan-Cancer Analysis of Whole Genomes’. </w:t>
      </w:r>
      <w:r>
        <w:rPr>
          <w:i/>
        </w:rPr>
        <w:t>Nature</w:t>
      </w:r>
      <w:r>
        <w:rPr/>
        <w:t xml:space="preserve"> 578 (7793): 82–93. https://doi.org/10.1038/s41586-020-1969-6.</w:t>
      </w:r>
    </w:p>
    <w:p>
      <w:pPr>
        <w:pStyle w:val="Bibliography1"/>
        <w:rPr/>
      </w:pPr>
      <w:r>
        <w:rPr/>
        <w:t xml:space="preserve">Boot, Arnoud, Mi Ni Huang, Alvin W.T.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Jiang, Nanhai, Yang Wu, and Steven G Rozen. 2024. ‘A New Approach to the Challenging Problem of Mutational Signature Attribution’. </w:t>
      </w:r>
      <w:r>
        <w:rPr>
          <w:i/>
        </w:rPr>
        <w:t>bioRxiv</w:t>
      </w:r>
      <w:r>
        <w:rPr/>
        <w:t>, ahead of print. https://doi.org/10.1101/2024.05.20.594967.</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Martínez-Jiménez, Francisco, Ali Movasati, Sascha Remy Brunner, et al. 2023. ‘Pan-Cancer Whole-Genome Comparison of Primary and Metastatic Solid Tumours’. </w:t>
      </w:r>
      <w:r>
        <w:rPr>
          <w:i/>
        </w:rPr>
        <w:t>Nature</w:t>
      </w:r>
      <w:r>
        <w:rPr/>
        <w:t xml:space="preserve"> 618 (7964): 333–41. https://doi.org/10.1038/s41586-023-06054-z.</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9"/>
    </w:p>
    <w:p>
      <w:pPr>
        <w:pStyle w:val="Normal"/>
        <w:spacing w:before="0" w:after="160"/>
        <w:rPr/>
      </w:pP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宋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1"/>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68</TotalTime>
  <Application>LibreOffice/25.8.4.2$Linux_X86_64 LibreOffice_project/580$Build-2</Application>
  <AppVersion>15.0000</AppVersion>
  <Pages>32</Pages>
  <Words>7712</Words>
  <Characters>47400</Characters>
  <CharactersWithSpaces>54973</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2026-02-05T11:10:00Z</dcterms:created>
  <dc:creator>Mo Liu</dc:creator>
  <dc:description/>
  <dc:language>en-US</dc:language>
  <cp:lastModifiedBy/>
  <cp:lastPrinted>2025-06-06T09:23:00Z</cp:lastPrinted>
  <dcterms:modified xsi:type="dcterms:W3CDTF">2026-02-05T21:23:06Z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