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 xml:space="preserve">We identified a novel signature that is specific to topoisomerase-1 (TOP1) associated mutagenesis, which was previously thought to be linked to ID4 </w:t>
      </w:r>
      <w:bookmarkStart w:id="0" w:name="ZOTERO_BREF_xeDB1zkV4c3y"/>
      <w:r>
        <w:rPr/>
        <w:t>(Jin et al. 2024; Koh et al. 2025a; Reijns et al. 2022)</w:t>
      </w:r>
      <w:bookmarkEnd w:id="0"/>
      <w:r>
        <w:rPr/>
        <w:t>. We extracted the new signature, InsDel_F / ID_F in all three indel classification schemes, and the difference from InsDel4 / ID4 is clearest in the 476-type scheme.</w:t>
      </w:r>
    </w:p>
    <w:p>
      <w:pPr>
        <w:pStyle w:val="Normal"/>
        <w:bidi w:val="0"/>
        <w:spacing w:lineRule="auto" w:line="480"/>
        <w:jc w:val="start"/>
        <w:rPr/>
      </w:pPr>
      <w:r>
        <w:rPr/>
        <w:t>InsDelF → deletions longer than 1 base are almost exclusively 2 base deletions, some from tandem seq, some w/ microhomology AG/CT and XXXX</w:t>
      </w:r>
    </w:p>
    <w:p>
      <w:pPr>
        <w:pStyle w:val="Normal"/>
        <w:bidi w:val="0"/>
        <w:spacing w:lineRule="auto" w:line="480"/>
        <w:jc w:val="start"/>
        <w:rPr/>
      </w:pPr>
      <w:r>
        <w:rPr/>
        <w:t>InsDel4 → deletions of 2, 3, and 4 bases – mostly tandem repeats, not so many involving AG/CT</w:t>
      </w:r>
    </w:p>
    <w:p>
      <w:pPr>
        <w:pStyle w:val="Normal"/>
        <w:bidi w:val="0"/>
        <w:spacing w:lineRule="auto" w:line="480"/>
        <w:jc w:val="start"/>
        <w:rPr/>
      </w:pPr>
      <w:r>
        <w:rPr/>
        <w:t>microhom e.g. AAA → A/TTT→T</w:t>
      </w:r>
    </w:p>
    <w:p>
      <w:pPr>
        <w:pStyle w:val="Normal"/>
        <w:bidi w:val="0"/>
        <w:spacing w:lineRule="auto" w:line="480"/>
        <w:jc w:val="start"/>
        <w:rPr/>
      </w:pPr>
      <w:r>
        <w:rPr/>
        <w:t>TAT → T</w:t>
      </w:r>
    </w:p>
    <w:p>
      <w:pPr>
        <w:pStyle w:val="Normal"/>
        <w:bidi w:val="0"/>
        <w:spacing w:lineRule="auto" w:line="480"/>
        <w:jc w:val="start"/>
        <w:rPr/>
      </w:pPr>
      <w:r>
        <w:rPr/>
        <w:t>ATA → A</w:t>
      </w:r>
    </w:p>
    <w:p>
      <w:pPr>
        <w:pStyle w:val="Normal"/>
        <w:bidi w:val="0"/>
        <w:spacing w:lineRule="auto" w:line="480"/>
        <w:jc w:val="start"/>
        <w:rPr/>
      </w:pPr>
      <w:r>
        <w:rPr/>
        <w:t>AGGAG → AG</w:t>
      </w:r>
    </w:p>
    <w:p>
      <w:pPr>
        <w:pStyle w:val="Normal"/>
        <w:bidi w:val="0"/>
        <w:spacing w:lineRule="auto" w:line="480"/>
        <w:jc w:val="start"/>
        <w:rPr/>
      </w:pPr>
      <w:r>
        <w:rPr/>
        <w:t>AGAAG → AG</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 xml:space="preserve">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ID_F.</w:t>
      </w:r>
    </w:p>
    <w:p>
      <w:pPr>
        <w:pStyle w:val="Normal"/>
        <w:bidi w:val="0"/>
        <w:spacing w:lineRule="auto" w:line="480"/>
        <w:jc w:val="start"/>
        <w:rPr>
          <w:rFonts w:hint="eastAsia"/>
        </w:rPr>
      </w:pPr>
      <w:r>
        <w:rPr>
          <w:rFonts w:hint="eastAsia"/>
        </w:rPr>
      </w:r>
    </w:p>
    <w:p>
      <w:pPr>
        <w:pStyle w:val="Normal"/>
        <w:bidi w:val="0"/>
        <w:spacing w:lineRule="auto" w:line="480"/>
        <w:jc w:val="start"/>
        <w:rPr/>
      </w:pPr>
      <w:r>
        <w:rPr/>
        <w:t>Upon re-examining the rnh201Δ</w:t>
      </w:r>
      <w:r>
        <w:rPr>
          <w:rFonts w:hint="eastAsia"/>
        </w:rPr>
        <w:t xml:space="preserve"> </w:t>
      </w:r>
      <w:r>
        <w:rPr>
          <w:i/>
          <w:iCs/>
        </w:rPr>
        <w:t>Saccharomyces cerevisiae</w:t>
      </w:r>
      <w:r>
        <w:rPr/>
        <w:t xml:space="preserve"> genomes, we observed 2 bp deletion patterns similar to those of ID_F, although deletions within microhomology were depleted (Williams et al. 2019; Conover et al. 2015</w:t>
      </w:r>
      <w:r>
        <w:rPr>
          <w:rFonts w:hint="eastAsia"/>
        </w:rPr>
        <w:t>, Figures S8</w:t>
      </w:r>
      <w:r>
        <w:rPr/>
        <w:t>).</w:t>
      </w:r>
      <w:r>
        <w:rPr>
          <w:rFonts w:hint="eastAsia"/>
        </w:rPr>
        <w:t xml:space="preserve"> </w:t>
      </w:r>
      <w:r>
        <w:rPr/>
        <w:t xml:space="preserve">The primary peak predominantly represents the deletion of CT from 5’-CTCT-3’ (or AG from 5’-AGAG-3’), as indicated by the extended sequence analysis of </w:t>
      </w:r>
      <w:r>
        <w:rPr>
          <w:strike/>
        </w:rPr>
        <w:t>RNASEH2B-KO cell lines and</w:t>
      </w:r>
      <w:r>
        <w:rPr/>
        <w:t xml:space="preserve"> </w:t>
      </w:r>
      <w:r>
        <w:rPr>
          <w:rFonts w:hint="eastAsia"/>
        </w:rPr>
        <w:t xml:space="preserve">the </w:t>
      </w:r>
      <w:r>
        <w:rPr/>
        <w:t xml:space="preserve">five </w:t>
      </w:r>
      <w:r>
        <w:rPr>
          <w:rFonts w:hint="eastAsia"/>
        </w:rPr>
        <w:t>genomes</w:t>
      </w:r>
      <w:r>
        <w:rPr/>
        <w:t xml:space="preserve"> exhibiting the highest 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ID_F, while NTNT (deletion from repeats) and CTNT (deletion from microhomology) at deletion sites for C_ID4 (Figure 8C). T</w:t>
      </w:r>
      <w:r>
        <w:rPr/>
        <w:t xml:space="preserve">umors exhibiting high Hx_ID29/ID_F activity show deletion sequences that closely resemble those observed in </w:t>
      </w:r>
      <w:r>
        <w:rPr>
          <w:strike/>
        </w:rPr>
        <w:t xml:space="preserve">RNASEH2B null HEK293T cells, as well as in </w:t>
      </w:r>
      <w:r>
        <w:rPr/>
        <w:t>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bidi w:val="0"/>
        <w:spacing w:lineRule="auto" w:line="480"/>
        <w:jc w:val="start"/>
        <w:rPr/>
      </w:pPr>
      <w:r>
        <w:rPr/>
        <w:t xml:space="preserve">Collectively, </w:t>
      </w:r>
      <w:r>
        <w:rPr>
          <w:rFonts w:hint="eastAsia"/>
        </w:rPr>
        <w:t>our analysis</w:t>
      </w:r>
      <w:r>
        <w:rPr/>
        <w:t xml:space="preserve"> presents ID_F </w:t>
      </w:r>
      <w:r>
        <w:rPr>
          <w:rFonts w:hint="eastAsia"/>
        </w:rPr>
        <w:t xml:space="preserve">and 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ID_F shows </w:t>
      </w:r>
      <w:r>
        <w:rPr/>
        <w:t>an</w:t>
      </w:r>
      <w:r>
        <w:rPr>
          <w:rFonts w:hint="eastAsia"/>
        </w:rPr>
        <w:t xml:space="preserve"> almost depletion of long deletions (deletion length≥3) at repeats and microhomologies (Figure S6A). ID_F contributes to more mutations </w:t>
      </w:r>
      <w:r>
        <w:rPr/>
        <w:t xml:space="preserve">in </w:t>
      </w:r>
      <w:r>
        <w:rPr>
          <w:rFonts w:hint="eastAsia"/>
        </w:rPr>
        <w:t>transcribed regions compared to untranscribed regions</w:t>
      </w:r>
      <w:r>
        <w:rPr>
          <w:rFonts w:hint="eastAsia"/>
          <w:strike/>
        </w:rPr>
        <w:t xml:space="preserve"> </w:t>
      </w:r>
      <w:r>
        <w:rPr>
          <w:rFonts w:hint="eastAsia"/>
        </w:rPr>
        <w:t>(Figure 8D)</w:t>
      </w:r>
      <w:r>
        <w:rPr>
          <w:rFonts w:hint="eastAsia"/>
          <w:strike/>
        </w:rPr>
        <w:t>.</w:t>
      </w:r>
      <w:r>
        <w:rPr>
          <w:rFonts w:hint="eastAsia"/>
        </w:rPr>
        <w:t xml:space="preserve"> The consistent observations </w:t>
      </w:r>
      <w:r>
        <w:rPr/>
        <w:t>suggest</w:t>
      </w:r>
      <w:r>
        <w:rPr>
          <w:rFonts w:hint="eastAsia"/>
        </w:rPr>
        <w:t xml:space="preserve"> ID_F is associated with a transcription associated mutational process. </w:t>
      </w:r>
      <w:r>
        <w:rPr/>
        <w:t>ID_F</w:t>
      </w:r>
      <w:r>
        <w:rPr>
          <w:rFonts w:hint="eastAsia"/>
        </w:rPr>
        <w:t xml:space="preserve"> and 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bidi w:val="0"/>
        <w:spacing w:lineRule="auto" w:line="48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Normal"/>
    <w:next w:val="Normal"/>
    <w:qFormat/>
    <w:pPr>
      <w:keepNext w:val="true"/>
      <w:keepLines/>
      <w:spacing w:before="40" w:after="0"/>
      <w:ind w:hanging="0"/>
      <w:outlineLvl w:val="1"/>
    </w:pPr>
    <w:rPr>
      <w:b/>
      <w:bCs/>
      <w:i/>
      <w:iCs/>
      <w:color w:themeColor="dark1" w:val="00000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813</TotalTime>
  <Application>LibreOffice/25.8.4.2$Linux_X86_64 LibreOffice_project/580$Build-2</Application>
  <AppVersion>15.0000</AppVersion>
  <Pages>3</Pages>
  <Words>596</Words>
  <Characters>3390</Characters>
  <CharactersWithSpaces>3974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2026-01-17T20:37:51Z</dcterms:created>
  <dc:creator/>
  <dc:description/>
  <dc:language>en-US</dc:language>
  <cp:lastModifiedBy/>
  <dcterms:modified xsi:type="dcterms:W3CDTF">2026-01-19T22:59:44Z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