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ind w:hanging="0"/>
        <w:rPr>
          <w:rFonts w:eastAsia="Times New Roman"/>
          <w:b/>
          <w:bCs/>
        </w:rPr>
      </w:pPr>
      <w:r>
        <w:rPr>
          <w:rFonts w:eastAsia="Times New Roman"/>
          <w:b/>
          <w:bCs/>
        </w:rPr>
      </w:r>
    </w:p>
    <w:p>
      <w:pPr>
        <w:pStyle w:val="Normal"/>
        <w:spacing w:lineRule="auto" w:line="360"/>
        <w:ind w:hanging="0"/>
        <w:rPr>
          <w:rFonts w:eastAsia="Times New Roman"/>
          <w:b/>
          <w:bCs/>
        </w:rPr>
      </w:pPr>
      <w:r>
        <w:rPr>
          <w:rFonts w:eastAsia="Times New Roman"/>
          <w:b/>
          <w:bCs/>
        </w:rPr>
        <w:t>Highlights</w:t>
      </w:r>
    </w:p>
    <w:p>
      <w:pPr>
        <w:pStyle w:val="Normal"/>
        <w:numPr>
          <w:ilvl w:val="0"/>
          <w:numId w:val="3"/>
        </w:numPr>
        <w:spacing w:lineRule="auto" w:line="36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 xml:space="preserve">Two </w:t>
      </w:r>
      <w:r>
        <w:rPr>
          <w:rFonts w:eastAsia="Times New Roman" w:hint="eastAsia"/>
          <w:b/>
          <w:bCs/>
          <w:i/>
          <w:iCs/>
        </w:rPr>
        <w:t>signatures in which</w:t>
      </w:r>
      <w:r>
        <w:rPr>
          <w:rFonts w:eastAsia="Times New Roman" w:hint="eastAsia"/>
          <w:b/>
          <w:bCs/>
          <w:i/>
          <w:iCs/>
        </w:rPr>
        <w:t xml:space="preserve">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Cl</w:t>
      </w:r>
      <w:r>
        <w:rPr>
          <w:b/>
          <w:bCs/>
          <w:i/>
          <w:iCs/>
        </w:rPr>
        <w:t>arifie</w:t>
      </w:r>
      <w:r>
        <w:rPr>
          <w:b/>
          <w:bCs/>
          <w:i/>
          <w:iCs/>
        </w:rPr>
        <w:t>d</w:t>
      </w:r>
      <w:r>
        <w:rPr>
          <w:b/>
          <w:bCs/>
          <w:i/>
          <w:iCs/>
        </w:rPr>
        <w:t xml:space="preserve"> </w:t>
      </w:r>
      <w:r>
        <w:rPr>
          <w:b/>
          <w:bCs/>
          <w:i/>
          <w:iCs/>
        </w:rPr>
        <w:t>signatures of aristolochic-acid-induced deletions</w:t>
      </w:r>
    </w:p>
    <w:p>
      <w:pPr>
        <w:pStyle w:val="normalfirst"/>
        <w:rPr>
          <w:b/>
          <w:bCs/>
          <w:i/>
          <w:iCs/>
        </w:rPr>
      </w:pPr>
      <w:r>
        <w:rPr/>
        <w:t xml:space="preserve">InsDel23 is caused by aristolochic acid </w:t>
      </w:r>
      <w:r>
        <w:rPr/>
        <w:t xml:space="preserve">(AA) </w:t>
      </w:r>
      <w:r>
        <w:rPr/>
        <w:t xml:space="preserve">exposure and </w:t>
      </w:r>
      <w:r>
        <w:rPr/>
        <w:t xml:space="preserve">the 476-type signatures </w:t>
      </w:r>
      <w:r>
        <w:rPr/>
        <w:t xml:space="preserve">shows that most </w:t>
      </w:r>
      <w:r>
        <w:rPr/>
        <w:t xml:space="preserve">AA </w:t>
      </w:r>
      <w:r>
        <w:rPr/>
        <w:t xml:space="preserve">deletions </w:t>
      </w:r>
      <w:r>
        <w:rPr/>
        <w:t xml:space="preserve">involve 5’TA3’/3’AT5’ → A/T (Figure 1, and see https://indelsig.net). This pattern is not visible in either the 83-type or 89-type classification </w:t>
      </w:r>
      <w:r>
        <w:rPr>
          <w:shd w:fill="FFFF00" w:val="clear"/>
        </w:rPr>
        <w:t>XXXXXX  Do the detailed spectrum of the exemplar XXXX</w:t>
      </w:r>
      <w:r>
        <w:rPr/>
        <w:t xml:space="preserve"> </w:t>
      </w:r>
      <w:r>
        <w:rPr/>
        <w:t xml:space="preserve"> </w:t>
      </w:r>
      <w:r>
        <w:rPr/>
        <w:t>O</w:t>
      </w:r>
      <w:r>
        <w:rPr/>
        <w:t xml:space="preserve">ne might speculate </w:t>
      </w:r>
      <w:r>
        <w:rPr/>
        <w:t xml:space="preserve">that this pattern is </w:t>
      </w:r>
      <w:r>
        <w:rPr/>
        <w:t xml:space="preserve">related to the adenine adducts caused by AA, </w:t>
      </w:r>
      <w:r>
        <w:rPr/>
        <w:t xml:space="preserve">which are </w:t>
      </w:r>
      <w:r>
        <w:rPr/>
        <w:t>also thought to be responsible for the predominance of A</w:t>
      </w:r>
      <w:r>
        <w:rPr>
          <w:rFonts w:cs="DejaVu Sans" w:hint="eastAsia" w:ascii="DejaVu Sans" w:hAnsi="DejaVu Sans"/>
        </w:rPr>
        <w:t>→</w:t>
      </w:r>
      <w:r>
        <w:rPr/>
        <w:t xml:space="preserve">T single base substitutions in the AA SBS signature and </w:t>
      </w:r>
      <w:r>
        <w:rPr/>
        <w:t>for</w:t>
      </w:r>
      <w:r>
        <w:rPr/>
        <w:t xml:space="preserve"> the frequent involvement of adenines in the AA DBS signature. </w:t>
      </w:r>
    </w:p>
    <w:p>
      <w:pPr>
        <w:pStyle w:val="NormalWeb"/>
        <w:ind w:hanging="0"/>
        <w:rPr/>
      </w:pPr>
      <w:r>
        <w:rPr>
          <w:rFonts w:eastAsia="Times New Roman"/>
          <w:b/>
          <w:bCs/>
          <w:i/>
          <w:iCs/>
        </w:rPr>
        <w:t>APOBEC3A activity and InsDel_Aβ</w:t>
      </w:r>
      <w:r>
        <w:rPr>
          <w:rFonts w:eastAsia="Times New Roman" w:hint="eastAsia"/>
          <w:b/>
          <w:bCs/>
          <w:i/>
          <w:iCs/>
        </w:rPr>
        <w:t xml:space="preserve"> </w:t>
      </w:r>
    </w:p>
    <w:p>
      <w:pPr>
        <w:pStyle w:val="NormalWeb"/>
        <w:ind w:hanging="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rPr>
        <w:t>MSS tumors: s</w:t>
      </w:r>
      <w:r>
        <w:rPr>
          <w:rFonts w:eastAsia="Times New Roman" w:hint="eastAsia"/>
          <w:b/>
          <w:bCs/>
          <w:i/>
          <w:iCs/>
        </w:rPr>
        <w:t>ingle-thymine indels in poly-T tracts</w:t>
      </w:r>
    </w:p>
    <w:p>
      <w:pPr>
        <w:pStyle w:val="BodyText"/>
        <w:rPr/>
      </w:pPr>
      <w:r>
        <w:rPr>
          <w:rFonts w:eastAsia="Times New Roman"/>
        </w:rPr>
        <w:t xml:space="preserve">De-novo signature discovery using both HDP- and NMF in all 3 indel signature classifications identified signatures with similar proportions of deletions and insertions of </w:t>
      </w:r>
      <w:r>
        <w:rPr>
          <w:rFonts w:eastAsia="Times New Roman"/>
        </w:rPr>
        <w:t>a</w:t>
      </w:r>
      <w:r>
        <w:rPr>
          <w:rFonts w:eastAsia="Times New Roman"/>
        </w:rPr>
        <w:t xml:space="preserve"> single thymine in poly-T tracts. </w:t>
      </w:r>
      <w:r>
        <w:rPr>
          <w:rFonts w:eastAsia="Times New Roman"/>
        </w:rPr>
        <w:t xml:space="preserve">These </w:t>
      </w:r>
      <w:r>
        <w:rPr>
          <w:rFonts w:eastAsia="Times New Roman"/>
        </w:rPr>
        <w:t xml:space="preserve">occur almost exclusively in MSS tumors. We termed these ID_N (the 83-type signature) plus InsDel_Nα and InsDel_Nβ (the 89- and 476-type signatures). Previous analysis in the 83-type </w:t>
      </w:r>
      <w:r>
        <w:rPr>
          <w:rFonts w:eastAsia="Times New Roman"/>
        </w:rPr>
        <w:t>classification</w:t>
      </w:r>
      <w:r>
        <w:rPr>
          <w:rFonts w:eastAsia="Times New Roman"/>
        </w:rPr>
        <w:t xml:space="preserve"> allocated insertions and deletions </w:t>
      </w:r>
      <w:r>
        <w:rPr>
          <w:rFonts w:eastAsia="Times New Roman"/>
        </w:rPr>
        <w:t xml:space="preserve">of single thymines in poly-T tracts </w:t>
      </w:r>
      <w:r>
        <w:rPr>
          <w:rFonts w:eastAsia="Times New Roman"/>
        </w:rPr>
        <w:t xml:space="preserve">to </w:t>
      </w:r>
      <w:r>
        <w:rPr>
          <w:rFonts w:eastAsia="Times New Roman"/>
        </w:rPr>
        <w:t xml:space="preserve">separate signatures </w:t>
      </w:r>
      <w:r>
        <w:rPr>
          <w:rFonts w:eastAsia="Times New Roman"/>
        </w:rPr>
        <w:t xml:space="preserve">ID1 and ID2, and did not differentiate between signature occurrence in MSS versus MSI-H </w:t>
      </w:r>
      <w:bookmarkStart w:id="19" w:name="ZOTERO_BREF_YU0vhT0bGj2b"/>
      <w:r>
        <w:rPr>
          <w:rFonts w:eastAsia="Times New Roman"/>
        </w:rPr>
        <w:t>(Alexandrov et al. 2020b)</w:t>
      </w:r>
      <w:bookmarkEnd w:id="19"/>
      <w:r>
        <w:rPr>
          <w:rFonts w:eastAsia="Times New Roman"/>
        </w:rPr>
        <w:t xml:space="preserve">. </w:t>
      </w:r>
      <w:r>
        <w:rPr>
          <w:rFonts w:eastAsia="Times New Roman"/>
        </w:rPr>
        <w:t>We first</w:t>
      </w:r>
      <w:r>
        <w:rPr>
          <w:rFonts w:eastAsia="Times New Roman"/>
        </w:rPr>
        <w:t xml:space="preserve"> focus on</w:t>
      </w:r>
      <w:r>
        <w:rPr>
          <w:rFonts w:eastAsia="Times New Roman" w:hint="eastAsia"/>
        </w:rPr>
        <w:t xml:space="preserve"> </w:t>
      </w:r>
      <w:r>
        <w:rPr>
          <w:rFonts w:eastAsia="Times New Roman"/>
        </w:rPr>
        <w:t xml:space="preserve">InsDel_Nβ which occurs in 2,629 </w:t>
      </w:r>
      <w:r>
        <w:rPr>
          <w:rFonts w:eastAsia="Times New Roman"/>
        </w:rPr>
        <w:t xml:space="preserve">of 6,770 </w:t>
      </w:r>
      <w:r>
        <w:rPr>
          <w:rFonts w:eastAsia="Times New Roman"/>
        </w:rPr>
        <w:t xml:space="preserve">MSS tumors </w:t>
      </w:r>
      <w:r>
        <w:rPr>
          <w:rFonts w:eastAsia="Times New Roman"/>
        </w:rPr>
        <w:t xml:space="preserve">(39%) </w:t>
      </w:r>
      <w:r>
        <w:rPr>
          <w:rFonts w:eastAsia="Times New Roman"/>
        </w:rPr>
        <w:t xml:space="preserve">in diverse cancer types and in only 9 </w:t>
      </w:r>
      <w:r>
        <w:rPr>
          <w:rFonts w:eastAsia="Times New Roman"/>
        </w:rPr>
        <w:t xml:space="preserve">of 176 </w:t>
      </w:r>
      <w:r>
        <w:rPr>
          <w:rFonts w:eastAsia="Times New Roman"/>
        </w:rPr>
        <w:t xml:space="preserve">MSI-H tumors </w:t>
      </w:r>
      <w:r>
        <w:rPr>
          <w:rFonts w:eastAsia="Times New Roman"/>
          <w:shd w:fill="00FFFF" w:val="clear"/>
        </w:rPr>
        <w:t>(</w:t>
      </w:r>
      <w:r>
        <w:rPr>
          <w:rFonts w:eastAsia="Times New Roman"/>
          <w:shd w:fill="00FFFF" w:val="clear"/>
        </w:rPr>
        <w:t xml:space="preserve">5%, </w:t>
      </w:r>
      <w:r>
        <w:rPr>
          <w:rFonts w:eastAsia="Times New Roman"/>
          <w:shd w:fill="00FFFF" w:val="clear"/>
        </w:rPr>
        <w:t>Table &lt;</w:t>
      </w:r>
      <w:r>
        <w:rPr>
          <w:rFonts w:eastAsia="Times New Roman"/>
          <w:shd w:fill="00FFFF" w:val="clear"/>
        </w:rPr>
        <w:t>sup_table_indel_N (</w:t>
      </w:r>
      <w:r>
        <w:rPr>
          <w:shd w:fill="00FFFF" w:val="clear"/>
        </w:rPr>
        <w:t>/home/steve/github/0Liu2024/Sup Tables/sup_table_insdel_N.xlsx</w:t>
      </w:r>
      <w:r>
        <w:rPr>
          <w:shd w:fill="00FFFF" w:val="clear"/>
        </w:rPr>
        <w:t xml:space="preserve">)&gt;. </w:t>
      </w:r>
      <w:r>
        <w:rPr>
          <w:shd w:fill="auto" w:val="clear"/>
        </w:rPr>
        <w:t>Roughly half the tumors with InsDel_N</w:t>
      </w:r>
      <w:r>
        <w:rPr>
          <w:rFonts w:eastAsia="Times New Roman"/>
          <w:shd w:fill="auto" w:val="clear"/>
        </w:rPr>
        <w:t>β also have InsDel1a</w:t>
      </w:r>
      <w:r>
        <w:rPr>
          <w:rFonts w:eastAsia="Times New Roman"/>
          <w:shd w:fill="auto" w:val="clear"/>
        </w:rPr>
        <w:t xml:space="preserve">, and InsDel1a </w:t>
      </w:r>
      <w:r>
        <w:rPr>
          <w:rFonts w:eastAsia="Times New Roman"/>
          <w:shd w:fill="auto" w:val="clear"/>
        </w:rPr>
        <w:t xml:space="preserve">also </w:t>
      </w:r>
      <w:r>
        <w:rPr>
          <w:rFonts w:eastAsia="Times New Roman"/>
          <w:shd w:fill="auto" w:val="clear"/>
        </w:rPr>
        <w:t>occurs without InsDel_N</w:t>
      </w:r>
      <w:r>
        <w:rPr>
          <w:rFonts w:eastAsia="Times New Roman"/>
          <w:shd w:fill="auto" w:val="clear"/>
        </w:rPr>
        <w:t xml:space="preserve">β </w:t>
      </w:r>
      <w:r>
        <w:rPr>
          <w:rFonts w:eastAsia="Times New Roman"/>
          <w:shd w:fill="auto" w:val="clear"/>
        </w:rPr>
        <w:t>in 2,596 MSS tumors (39%) and 35 MSI-H tumors (20%). Thus, many MSS tumors have roughly equal proportions of thymine deletions and insertion in long poly-T tracts (InsDel_N</w:t>
      </w:r>
      <w:r>
        <w:rPr>
          <w:rFonts w:eastAsia="Times New Roman"/>
          <w:shd w:fill="auto" w:val="clear"/>
        </w:rPr>
        <w:t xml:space="preserve">β </w:t>
      </w:r>
      <w:r>
        <w:rPr>
          <w:rFonts w:eastAsia="Times New Roman"/>
          <w:shd w:fill="auto" w:val="clear"/>
        </w:rPr>
        <w:t xml:space="preserve">), but other tumors have varying proportions of </w:t>
      </w:r>
      <w:r>
        <w:rPr>
          <w:rFonts w:eastAsia="Times New Roman"/>
          <w:shd w:fill="auto" w:val="clear"/>
        </w:rPr>
        <w:t xml:space="preserve">additional </w:t>
      </w:r>
      <w:r>
        <w:rPr>
          <w:rFonts w:eastAsia="Times New Roman"/>
          <w:shd w:fill="auto" w:val="clear"/>
        </w:rPr>
        <w:t>insertion</w:t>
      </w:r>
      <w:r>
        <w:rPr>
          <w:rFonts w:eastAsia="Times New Roman"/>
          <w:shd w:fill="auto" w:val="clear"/>
        </w:rPr>
        <w:t>s (InsDel_1a)</w:t>
      </w:r>
      <w:r>
        <w:rPr>
          <w:rFonts w:eastAsia="Times New Roman"/>
          <w:shd w:fill="auto" w:val="clear"/>
        </w:rPr>
        <w:t>, and some tumo</w:t>
      </w:r>
      <w:r>
        <w:rPr>
          <w:rFonts w:eastAsia="Times New Roman"/>
          <w:shd w:fill="auto" w:val="clear"/>
        </w:rPr>
        <w:t xml:space="preserve">r spectra are completely dominated by these insertions. </w:t>
      </w:r>
      <w:r>
        <w:rPr>
          <w:rFonts w:eastAsia="Times New Roman"/>
          <w:shd w:fill="auto" w:val="clear"/>
        </w:rPr>
        <w:t xml:space="preserve">The other signature with approximately equal proportions of insertions and deletions of a thymine in a poly-T tract, </w:t>
      </w:r>
      <w:r>
        <w:rPr>
          <w:rFonts w:eastAsia="Times New Roman"/>
          <w:shd w:fill="auto" w:val="clear"/>
        </w:rPr>
        <w:t xml:space="preserve">InsDel_Nα, is rare </w:t>
      </w:r>
      <w:r>
        <w:rPr>
          <w:rFonts w:eastAsia="Times New Roman"/>
          <w:shd w:fill="auto" w:val="clear"/>
        </w:rPr>
        <w:t>in both MSS and MSI-H tumors</w:t>
      </w:r>
      <w:r>
        <w:rPr>
          <w:rFonts w:eastAsia="Times New Roman"/>
          <w:shd w:fill="auto" w:val="clear"/>
        </w:rPr>
        <w:t xml:space="preserve">, occurring in only 55 </w:t>
      </w:r>
      <w:r>
        <w:rPr>
          <w:rFonts w:eastAsia="Times New Roman"/>
          <w:shd w:fill="auto" w:val="clear"/>
        </w:rPr>
        <w:t xml:space="preserve">of 6,770 </w:t>
      </w:r>
      <w:r>
        <w:rPr>
          <w:rFonts w:eastAsia="Times New Roman"/>
          <w:shd w:fill="auto" w:val="clear"/>
        </w:rPr>
        <w:t xml:space="preserve">MSS tumors and 2 </w:t>
      </w:r>
      <w:r>
        <w:rPr>
          <w:rFonts w:eastAsia="Times New Roman"/>
          <w:shd w:fill="auto" w:val="clear"/>
        </w:rPr>
        <w:t xml:space="preserve">of 175 </w:t>
      </w:r>
      <w:r>
        <w:rPr>
          <w:rFonts w:eastAsia="Times New Roman"/>
          <w:shd w:fill="auto" w:val="clear"/>
        </w:rPr>
        <w:t xml:space="preserve">MSI-H tumors. </w:t>
      </w:r>
    </w:p>
    <w:p>
      <w:pPr>
        <w:pStyle w:val="normalfirst"/>
        <w:rPr>
          <w:rFonts w:eastAsia="Times New Roman"/>
          <w:b/>
          <w:bCs/>
          <w:i/>
          <w:iCs/>
        </w:rPr>
      </w:pPr>
      <w:r>
        <w:rPr>
          <w:rFonts w:eastAsia="Times New Roman"/>
          <w:b/>
          <w:bCs/>
          <w:i/>
          <w:iCs/>
        </w:rPr>
        <w:t>Indels in poly-T tracts and microsatellite contraction in MSI-H tumors</w:t>
      </w:r>
    </w:p>
    <w:p>
      <w:pPr>
        <w:pStyle w:val="normalfirst"/>
        <w:rPr>
          <w:rFonts w:eastAsia="Times New Roman"/>
        </w:rPr>
      </w:pPr>
      <w:r>
        <w:rPr>
          <w:rFonts w:eastAsia="Times New Roman"/>
        </w:rPr>
        <w:t xml:space="preserve">In addition to enrichment for InsDel2a, 2b, and 2b, which represent single-thymine deletions from poly-T tracts, MSI-H tumors were notably enriched for signatures InsDel7, D, and J </w:t>
      </w:r>
      <w:r>
        <w:rPr>
          <w:rFonts w:eastAsia="Times New Roman"/>
          <w:shd w:fill="00FFFF" w:val="clear"/>
        </w:rPr>
        <w:t>(Figure 4a)</w:t>
      </w:r>
      <w:r>
        <w:rPr>
          <w:rFonts w:eastAsia="Times New Roman"/>
        </w:rPr>
        <w:t>. InsDel7, like InsDel2a/b/c, is dominated by single-thymine deletions from poly-T tracts, but with a distinct distribution of sequences flanking the poly-T tract. InsDel_J consists almost entirely of deletions of single dinucleotides from a dinucleotide microsatellites, e.g. deletion of CA from (CA)</w:t>
      </w:r>
      <w:r>
        <w:rPr>
          <w:rFonts w:eastAsia="Times New Roman"/>
          <w:vertAlign w:val="superscript"/>
        </w:rPr>
        <w:t>5</w:t>
      </w:r>
      <w:r>
        <w:rPr>
          <w:rFonts w:eastAsia="Times New Roman"/>
        </w:rPr>
        <w:t>, or deletion of GT from (GT)</w:t>
      </w:r>
      <w:r>
        <w:rPr>
          <w:rFonts w:eastAsia="Times New Roman"/>
          <w:vertAlign w:val="superscript"/>
        </w:rPr>
        <w:t>8</w:t>
      </w:r>
      <w:r>
        <w:rPr>
          <w:rFonts w:eastAsia="Times New Roman"/>
        </w:rPr>
        <w:t xml:space="preserve"> [see also entries for the 476-indel-type category Del2:U2:R(5,) in </w:t>
      </w:r>
      <w:r>
        <w:rPr>
          <w:rFonts w:eastAsia="Times New Roman"/>
          <w:shd w:fill="00FFFF" w:val="clear"/>
        </w:rPr>
        <w:t>Table S1]</w:t>
      </w:r>
      <w:r>
        <w:rPr>
          <w:rFonts w:eastAsia="Times New Roman"/>
        </w:rPr>
        <w:t xml:space="preserve">. Another signature, InsDel1a, which is dominated by single-thymine deletions into poly-T tracts occurred in 20% of MSI-H tumors. This is a reasonably high frequency, though substantially less than the 38% of MSS tumors </w:t>
      </w:r>
      <w:r>
        <w:rPr>
          <w:rFonts w:eastAsia="Times New Roman"/>
          <w:shd w:fill="00FFFF" w:val="clear"/>
        </w:rPr>
        <w:t>(Sup Table InsDel_N).</w:t>
      </w:r>
    </w:p>
    <w:p>
      <w:pPr>
        <w:pStyle w:val="Heading2"/>
        <w:rPr/>
      </w:pPr>
      <w:r>
        <w:rPr/>
        <w:t>The new indel classifications reveal an accurate signature of RNase H2 deficiency</w:t>
      </w:r>
    </w:p>
    <w:p>
      <w:pPr>
        <w:pStyle w:val="Normal"/>
        <w:ind w:hanging="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rPr/>
        <w:t>(Reijns et al. 2022; Koh et al. 2025; Jin et al. 2024)</w:t>
      </w:r>
      <w:bookmarkEnd w:id="20"/>
      <w:r>
        <w:rPr/>
        <w:t xml:space="preserve">. However, we detected a new indel signature, InsDel_F, which better corresponds to RNase H2 deficiency experimental data than ID4 </w:t>
      </w:r>
      <w:r>
        <w:rPr>
          <w:shd w:fill="00FFFF" w:val="clear"/>
        </w:rPr>
        <w:t>(Figures</w:t>
      </w:r>
      <w:r>
        <w:rPr>
          <w:rFonts w:eastAsia="Times New Roman" w:hint="eastAsia"/>
          <w:shd w:fill="00FFFF" w:val="clear"/>
        </w:rPr>
        <w:t xml:space="preserve"> 6, S5</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ind w:hanging="0"/>
        <w:rPr/>
      </w:pPr>
      <w:r>
        <w:rPr/>
        <w:t>We further analyzed the correlations between the i</w:t>
      </w:r>
      <w:r>
        <w:rPr>
          <w:rFonts w:hint="eastAsia"/>
        </w:rPr>
        <w:t>ndel</w:t>
      </w:r>
      <w:r>
        <w:rPr/>
        <w:t xml:space="preserve"> signature activities we derived and the SBS signature activities from </w:t>
      </w:r>
      <w:bookmarkStart w:id="21" w:name="ZOTERO_BREF_EyljJoO9yp1B"/>
      <w:r>
        <w:rPr/>
        <w:t>(Degasperi et al. 2022)</w:t>
      </w:r>
      <w:bookmarkEnd w:id="21"/>
      <w:r>
        <w:rPr/>
        <w:t xml:space="preserve">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 &lt;probably need to renumber&gt;</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&lt;add hypermutator info to legend&gt;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GI enriched 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2" w:name="ZOTERO_BREF_PpR8PYcxNNRP"/>
      <w:r>
        <w:rPr/>
        <w:t>(Lawson et al. 2020)</w:t>
      </w:r>
      <w:bookmarkEnd w:id="22"/>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w:t>
      </w:r>
      <w:r>
        <w:rPr>
          <w:shd w:fill="00FFFF" w:val="clear"/>
        </w:rPr>
        <w:t>TOP1</w:t>
      </w:r>
      <w:r>
        <w:rP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xml:space="preserve">. </w:t>
      </w:r>
      <w:r>
        <w:rPr>
          <w:rFonts w:eastAsia="Times New Roman"/>
          <w:shd w:fill="FFFF00" w:val="clear"/>
        </w:rPr>
        <w:t>&lt;parallel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fill="FFFF00" w:val="clear"/>
        </w:rPr>
        <w:t xml:space="preserve"> </w:t>
      </w:r>
      <w:commentRangeStart w:id="0"/>
      <w:r>
        <w:rPr>
          <w:rFonts w:eastAsia="Times New Roman"/>
          <w:shd w:fill="FFFF00" w:val="clear"/>
        </w:rPr>
        <w:t>&lt;mentioned anywhere else?&gt;</w:t>
      </w:r>
      <w:r>
        <w:rPr>
          <w:rFonts w:eastAsia="Times New Roman"/>
          <w:shd w:fill="FFFF00" w:val="clear"/>
        </w:rPr>
      </w:r>
      <w:commentRangeEnd w:id="0"/>
      <w:r>
        <w:commentReference w:id="0"/>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fill="FFFF00" w:val="clear"/>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FFFF00" w:val="clear"/>
        </w:rPr>
        <w:t xml:space="preserve"> </w:t>
      </w:r>
      <w:r>
        <w:rPr>
          <w:rFonts w:eastAsia="Times New Roman" w:hint="eastAsia"/>
          <w:shd w:fill="00FFFF" w:val="clear"/>
        </w:rPr>
        <w:t>(Table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rFonts w:eastAsia="宋体"/>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rFonts w:eastAsia="宋体" w:hint="eastAsia"/>
        </w:rPr>
      </w:pPr>
      <w:commentRangeStart w:id="5"/>
      <w:r>
        <w:rPr>
          <w:rFonts w:eastAsia="宋体"/>
        </w:rPr>
        <w:t>A potential source of technical variation in our analysis is the use of data generated by different variant-calling pipelines</w:t>
      </w:r>
      <w:r>
        <w:rPr>
          <w:rFonts w:eastAsia="宋体" w:hint="eastAsia"/>
        </w:rPr>
        <w:t xml:space="preserve"> used for</w:t>
      </w:r>
      <w:r>
        <w:rPr>
          <w:rFonts w:eastAsia="宋体"/>
        </w:rPr>
        <w:t xml:space="preserve"> PCAWG and Hartwig cohorts. We observed a higher frequency of indels occurring in sequence contexts containing more than nine repeat units in the Hartwig data, raising the possibility that differences in variant calling, local realignment, or indel representation contributed to this discrepancy. To assess and minimize the potential impact of this bias, we performed two additional analyses. First, we excluded indels associated with more than nine repeat units to improve comparability with the PCAWG calling pipeline. Second, for indels occurring in repetitive sequence contexts, we normalized their representation by moving each indel to the leftmost possible position within the sequence context. Thus, we cannot exclude residual caller- or cohort-specific effects, particularly for indels in highly repetitive sequence contexts and for signatures supported by relatively few mutations. Nevertheless, the overall consistency of the dominant signatures across datasets, together with the robustness of the results after filtering and representation normalization, suggests that variant-calling bias is unlikely to substantially affect the main conclusions of this study.</w:t>
      </w:r>
      <w:commentRangeEnd w:id="5"/>
      <w:r>
        <w:commentReference w:id="5"/>
      </w:r>
      <w:r>
        <w:rPr>
          <w:rFonts w:eastAsia="宋体"/>
        </w:rPr>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3" w:name="ZOTERO_BREF_Jmprd6S6YeS8"/>
      <w:r>
        <w:rPr>
          <w:rFonts w:hint="eastAsia"/>
        </w:rPr>
        <w:t>(Priestley et al. 2019)</w:t>
      </w:r>
      <w:bookmarkEnd w:id="23"/>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4"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2020a. ‘The Repertoire of Mutational Signatures in Human Cancer’. </w:t>
      </w:r>
      <w:r>
        <w:rPr>
          <w:i/>
        </w:rPr>
        <w:t>Nature</w:t>
      </w:r>
      <w:r>
        <w:rPr/>
        <w:t xml:space="preserve"> 578 (7793): 94–101. https://doi.org/10.1038/s41586-020-1943-3.</w:t>
      </w:r>
    </w:p>
    <w:p>
      <w:pPr>
        <w:pStyle w:val="Bibliography1"/>
        <w:rPr/>
      </w:pPr>
      <w:r>
        <w:rPr/>
        <w:t xml:space="preserve">Alexandrov, Ludmil B., Jaegil Kim, Nicholas J. Haradhvala, et al. 2020b.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4"/>
    </w:p>
    <w:p>
      <w:pPr>
        <w:pStyle w:val="Normal"/>
        <w:rPr/>
      </w:pPr>
      <w:r>
        <w:rPr/>
      </w:r>
    </w:p>
    <w:p>
      <w:pPr>
        <w:pStyle w:val="Normal"/>
        <w:spacing w:lineRule="auto" w:line="24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818" r="7605" b="33065"/>
                    <a:stretch>
                      <a:fillRect/>
                    </a:stretch>
                  </pic:blipFill>
                  <pic:spPr bwMode="auto">
                    <a:xfrm>
                      <a:off x="0" y="0"/>
                      <a:ext cx="5247005" cy="483616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Figure 1 The aristolochic acid (AA) indel signatures (signature 23) in the three classification schemes.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ind w:hanging="0"/>
        <w:rPr>
          <w:rFonts w:eastAsia="宋体" w:eastAsiaTheme="minorEastAsia"/>
          <w:b/>
          <w:bCs/>
          <w:sz w:val="16"/>
          <w:szCs w:val="16"/>
        </w:rPr>
      </w:pPr>
      <w:r>
        <w:rPr>
          <w:rFonts w:eastAsia="宋体" w:eastAsiaTheme="minorEastAsia"/>
          <w:b/>
          <w:bCs/>
          <w:sz w:val="16"/>
          <w:szCs w:val="16"/>
        </w:rPr>
      </w:r>
    </w:p>
    <w:p>
      <w:pPr>
        <w:pStyle w:val="Normal"/>
        <w:spacing w:lineRule="auto" w:line="24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ind w:hanging="0"/>
        <w:rPr>
          <w:rFonts w:eastAsia="宋体" w:eastAsiaTheme="minorEastAsia"/>
          <w:sz w:val="28"/>
          <w:szCs w:val="28"/>
        </w:rPr>
      </w:pPr>
      <w:r>
        <w:rPr>
          <w:rFonts w:eastAsia="宋体" w:eastAsiaTheme="minorEastAsia"/>
          <w:sz w:val="28"/>
          <w:szCs w:val="28"/>
        </w:rPr>
      </w:r>
    </w:p>
    <w:p>
      <w:pPr>
        <w:pStyle w:val="Normal"/>
        <w:spacing w:lineRule="auto" w:line="240"/>
        <w:ind w:hanging="0"/>
        <w:rPr/>
      </w:pPr>
      <w:r>
        <w:rPr/>
      </w:r>
      <w:r>
        <w:br w:type="page"/>
      </w:r>
    </w:p>
    <w:p>
      <w:pPr>
        <w:pStyle w:val="Normal"/>
        <w:spacing w:before="0" w:after="160"/>
        <w:ind w:hanging="0"/>
        <w:rPr>
          <w:rFonts w:eastAsia="宋体" w:eastAsiaTheme="minorEastAsia"/>
        </w:rPr>
      </w:pPr>
      <w:r>
        <w:rPr/>
        <w:drawing>
          <wp:inline distT="0" distB="0" distL="0" distR="0">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3"/>
                    <a:stretch>
                      <a:fillRect/>
                    </a:stretch>
                  </pic:blipFill>
                  <pic:spPr bwMode="auto">
                    <a:xfrm>
                      <a:off x="0" y="0"/>
                      <a:ext cx="5939155" cy="6951345"/>
                    </a:xfrm>
                    <a:prstGeom prst="rect">
                      <a:avLst/>
                    </a:prstGeom>
                    <a:noFill/>
                  </pic:spPr>
                </pic:pic>
              </a:graphicData>
            </a:graphic>
          </wp:inline>
        </w:drawing>
      </w:r>
    </w:p>
    <w:p>
      <w:pPr>
        <w:pStyle w:val="Normal"/>
        <w:spacing w:lineRule="auto" w:line="240"/>
        <w:ind w:hanging="0"/>
        <w:rPr>
          <w:b/>
          <w:bCs/>
          <w:sz w:val="18"/>
          <w:szCs w:val="18"/>
        </w:rPr>
      </w:pPr>
      <w:r>
        <w:rPr>
          <w:rFonts w:hint="eastAsia"/>
          <w:b/>
          <w:bCs/>
          <w:sz w:val="18"/>
          <w:szCs w:val="18"/>
        </w:rPr>
        <w:t>Figure 3 Profiles of signatures extracted in the 89-type classification scheme</w:t>
      </w:r>
    </w:p>
    <w:p>
      <w:pPr>
        <w:pStyle w:val="Normal"/>
        <w:spacing w:lineRule="auto" w:line="24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935345" cy="3818255"/>
                    </a:xfrm>
                    <a:prstGeom prst="rect">
                      <a:avLst/>
                    </a:prstGeom>
                    <a:noFill/>
                  </pic:spPr>
                </pic:pic>
              </a:graphicData>
            </a:graphic>
          </wp:inline>
        </w:drawing>
      </w:r>
    </w:p>
    <w:p>
      <w:pPr>
        <w:pStyle w:val="Normal"/>
        <w:spacing w:lineRule="auto" w:line="24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8-21T14:53:00Z" w:initials="ML">
    <w:p>
      <w:pPr>
        <w:overflowPunct w:val="false"/>
        <w:spacing w:lineRule="auto" w:line="240"/>
        <w:rPr/>
      </w:pPr>
      <w:r>
        <w:annotationRef/>
      </w:r>
      <w:r>
        <w:rPr>
          <w:rFonts w:eastAsia="宋体" w:cs="Noto Sans Arabic UI" w:ascii="Calibri" w:hAnsi="Calibri"/>
          <w:sz w:val="22"/>
          <w:szCs w:val="22"/>
        </w:rPr>
        <w:t xml:space="preserve">The clock-like association was described in the following paragraph. We can either not mention the clock-like in this part, or bring the age-association part earlier. </w:t>
      </w:r>
    </w:p>
  </w:comment>
  <w:comment w:id="4" w:author="Mo Liu" w:date="2026-05-25T13:45:00Z" w:initials="ML">
    <w:p w14:paraId="01000000">
      <w:pPr>
        <w:overflowPunct w:val="false"/>
        <w:spacing w:lineRule="auto" w:line="24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false"/>
        <w:spacing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true"/>
        <w:spacing w:lineRule="auto" w:line="240"/>
        <w:rPr/>
      </w:pPr>
      <w:r>
        <w:annotationRef/>
      </w:r>
      <w:r>
        <w:rPr>
          <w:rFonts w:eastAsia="宋体" w:cs="Noto Sans Arabic UI" w:ascii="Calibri" w:hAnsi="Calibri"/>
          <w:sz w:val="22"/>
          <w:szCs w:val="22"/>
        </w:rPr>
        <w:t>I update via email.</w:t>
      </w:r>
    </w:p>
  </w:comment>
  <w:comment w:id="1" w:author="Unknown Author" w:date="2026-07-02T20:23:00Z" w:initials="">
    <w:p>
      <w:pPr>
        <w:overflowPunct w:val="true"/>
        <w:spacing w:lineRule="auto" w:line="240"/>
        <w:rPr/>
      </w:pPr>
      <w:r>
        <w:annotationRef/>
      </w:r>
      <w:r>
        <w:rPr>
          <w:rFonts w:eastAsia="宋体" w:cs="Noto Sans Arabic UI" w:ascii="Calibri" w:hAnsi="Calibri"/>
          <w:i/>
          <w:sz w:val="16"/>
          <w:szCs w:val="22"/>
        </w:rPr>
        <w:t>Reply to Mo Liu (05/29/2026, 16:03): "..."</w:t>
      </w:r>
    </w:p>
    <w:p>
      <w:pPr>
        <w:overflowPunct w:val="true"/>
        <w:spacing w:lineRule="auto" w:line="240" w:before="8895" w:after="0"/>
        <w:rPr/>
      </w:pPr>
      <w:r>
        <w:rPr>
          <w:rFonts w:eastAsia="宋体" w:cs="Noto Sans Arabic UI" w:ascii="Calibri" w:hAnsi="Calibri"/>
          <w:sz w:val="20"/>
          <w:szCs w:val="20"/>
        </w:rPr>
        <w:t>Hi Steve,</w:t>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eastAsia="宋体" w:cs="Noto Sans Arabic UI" w:ascii="Calibri" w:hAnsi="Calibri"/>
          <w:sz w:val="20"/>
          <w:szCs w:val="20"/>
        </w:rPr>
        <w:t>I summarized the topographical annotations available on the COSMIC website.</w:t>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eastAsia="宋体" w:cs="Noto Sans Arabic UI" w:ascii="Calibri" w:hAnsi="Calibri"/>
          <w:sz w:val="20"/>
          <w:szCs w:val="20"/>
        </w:rPr>
        <w:t>I’ve summarized the information in the attached file.</w:t>
      </w:r>
    </w:p>
    <w:p>
      <w:pPr>
        <w:overflowPunct w:val="true"/>
        <w:spacing w:lineRule="auto" w:line="240" w:before="8895" w:after="0"/>
        <w:rPr/>
      </w:pPr>
      <w:r>
        <w:rPr>
          <w:rFonts w:eastAsia="宋体" w:cs="Noto Sans Arabic UI" w:ascii="Calibri" w:hAnsi="Calibri"/>
          <w:sz w:val="20"/>
          <w:szCs w:val="20"/>
        </w:rPr>
        <w:t>Please let me know if you need more information.</w:t>
      </w:r>
    </w:p>
    <w:p>
      <w:pPr>
        <w:overflowPunct w:val="true"/>
        <w:spacing w:lineRule="auto" w:line="240" w:before="8895" w:after="0"/>
        <w:rPr/>
      </w:pPr>
      <w:r>
        <w:rPr>
          <w:rFonts w:eastAsia="宋体" w:cs="Noto Sans Arabic UI" w:ascii="Calibri" w:hAnsi="Calibri"/>
          <w:sz w:val="20"/>
          <w:szCs w:val="20"/>
        </w:rPr>
        <w:t>Thanks,Mo</w:t>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eastAsia="宋体" w:cs="Noto Sans Arabic UI" w:ascii="Calibri" w:hAnsi="Calibri"/>
          <w:sz w:val="20"/>
          <w:szCs w:val="20"/>
        </w:rPr>
        <w:t>See COSMICv3.6 ID topographical annotation.xlsx</w:t>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pPr>
        <w:overflowPunct w:val="true"/>
        <w:spacing w:lineRule="auto" w:line="240" w:before="8895" w:after="0"/>
        <w:rPr/>
      </w:pPr>
      <w:r>
        <w:rPr>
          <w:rFonts w:cs="Noto Sans Arabic UI" w:eastAsia="宋体" w:ascii="Calibri" w:hAnsi="Calibri"/>
          <w:sz w:val="22"/>
          <w:szCs w:val="22"/>
        </w:rPr>
      </w:r>
    </w:p>
    <w:p w14:paraId="04000000">
      <w:pPr>
        <w:overflowPunct w:val="true"/>
        <w:spacing w:lineRule="auto" w:line="240" w:before="8895" w:after="0"/>
        <w:rPr/>
      </w:pPr>
      <w:r>
        <w:rPr>
          <w:rFonts w:cs="Noto Sans Arabic UI" w:eastAsia="宋体" w:ascii="Calibri" w:hAnsi="Calibri"/>
          <w:sz w:val="22"/>
          <w:szCs w:val="22"/>
        </w:rPr>
      </w:r>
    </w:p>
  </w:comment>
  <w:comment w:id="5" w:author="Mo Liu" w:date="2026-09-06T22:02:00Z" w:initials="ML">
    <w:p>
      <w:pPr>
        <w:overflowPunct w:val="false"/>
        <w:spacing w:lineRule="auto" w:line="240"/>
        <w:rPr/>
      </w:pPr>
      <w:r>
        <w:annotationRef/>
      </w:r>
      <w:r>
        <w:rPr>
          <w:rFonts w:cs="Noto Sans Arabic UI" w:eastAsia="宋体" w:ascii="Calibri" w:hAnsi="Calibri"/>
          <w:sz w:val="22"/>
          <w:szCs w:val="22"/>
        </w:rPr>
        <w:t>New paragraph added by Mo to discuss the potential caller batch effects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Application>LibreOffice/26.2.5.2$Linux_X86_64 LibreOffice_project/620$Build-2</Application>
  <AppVersion>15.0000</AppVersion>
  <Pages>40</Pages>
  <Words>10003</Words>
  <Characters>59904</Characters>
  <CharactersWithSpaces>69563</CharactersWithSpaces>
  <Paragraphs>416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2026-09-06T14:03:00Z</dcterms:created>
  <dc:creator>Mo Liu</dc:creator>
  <dc:description/>
  <dc:language>en-US</dc:language>
  <cp:lastModifiedBy/>
  <cp:lastPrinted>2025-06-06T09:23:00Z</cp:lastPrinted>
  <dcterms:modified xsi:type="dcterms:W3CDTF">2026-09-13T13:40:34Z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