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6,975 tumors</w:t>
      </w:r>
    </w:p>
    <w:p>
      <w:pPr>
        <w:pStyle w:val="authorsandaff"/>
        <w:spacing w:before="0" w:after="240"/>
        <w:rPr/>
      </w:pPr>
      <w:r>
        <w:rPr/>
        <w:t>Mo Liu</w:t>
      </w:r>
      <w:r>
        <w:rPr>
          <w:rFonts w:hint="eastAsia"/>
        </w:rPr>
        <w:t>1,2,3*#</w:t>
      </w:r>
      <w:r>
        <w:rPr/>
        <w:t>,</w:t>
      </w:r>
      <w:r>
        <w:rPr>
          <w:rFonts w:hint="eastAsia"/>
        </w:rPr>
        <w:t xml:space="preserve"> Mi Ni Huang4*</w:t>
      </w:r>
      <w:r>
        <w:rPr>
          <w:rFonts w:hint="eastAsia"/>
          <w:shd w:fill="auto" w:val="clear"/>
        </w:rPr>
        <w:t>,</w:t>
      </w:r>
      <w:r>
        <w:rPr>
          <w:shd w:fill="auto" w:val="clear"/>
        </w:rPr>
        <w:t xml:space="preserve"> Xue Ming Wu1, </w:t>
      </w:r>
      <w:r>
        <w:rPr/>
        <w:t>Qi Zheng</w:t>
      </w:r>
      <w:r>
        <w:rPr>
          <w:rFonts w:hint="eastAsia"/>
        </w:rPr>
        <w:t>1</w:t>
      </w:r>
      <w:r>
        <w:rPr/>
        <w:t>,</w:t>
      </w:r>
      <w:r>
        <w:rPr>
          <w:rFonts w:hint="eastAsia"/>
        </w:rPr>
        <w:t xml:space="preserve"> Arnoud Boot2,3, Shenli Zhang2,3, Szu-Chi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w:t>
      </w:r>
      <w:r>
        <w:rPr/>
        <w:t>viewed</w:t>
      </w:r>
      <w:r>
        <w:rPr/>
        <w:t xml:space="preserve"> as latent factors that explain observed mutational spectra </w:t>
      </w:r>
      <w:r>
        <w:rPr/>
        <w:t>and that</w:t>
      </w:r>
      <w:r>
        <w:rPr/>
        <w:t xml:space="preserve"> ideally correspond to specific mutagenic mechanisms. </w:t>
      </w:r>
      <w:r>
        <w:rPr/>
        <w:t>The mutational signatures of</w:t>
      </w:r>
      <w:r>
        <w:rPr/>
        <w:t xml:space="preserve"> small insertions and deletions (“indels”) have been under-studied, </w:t>
      </w:r>
      <w:r>
        <w:rPr/>
        <w:t>but</w:t>
      </w:r>
      <w:r>
        <w:rPr/>
        <w:t xml:space="preserve"> Koh, Nanda, and colleagues recently published a new classification of indels into 89 mutation types, a classification that enables finer distinctions between signature</w:t>
      </w:r>
      <w:r>
        <w:rPr/>
        <w:t xml:space="preserve">s the more widely used classification into 83 types. </w:t>
      </w:r>
      <w:r>
        <w:rPr/>
        <w:t xml:space="preserve"> </w:t>
      </w:r>
      <w:r>
        <w:rPr>
          <w:shd w:fill="auto" w:val="clear"/>
        </w:rPr>
        <w:t xml:space="preserve">Here, we analyzed somatic indels in 6,975 whole genomes from 32 cancer types to create comprehensive collections of signatures in both classification </w:t>
      </w:r>
      <w:r>
        <w:rPr>
          <w:shd w:fill="auto" w:val="clear"/>
        </w:rPr>
        <w:t>schemes</w:t>
      </w:r>
      <w:r>
        <w:rPr>
          <w:shd w:fill="auto" w:val="clear"/>
        </w:rPr>
        <w:t xml:space="preserve">. We extracted signatures using methods based on hierarchical Dirichlet processes and on non-negative matrix factorization, and results were consistent across the two methods. We identified a comprehensive set of 45 mutational signatures in the new 89-type classification and 33 signatures in the older 83-type classification, </w:t>
      </w:r>
      <w:r>
        <w:rPr>
          <w:shd w:fill="auto" w:val="clear"/>
        </w:rPr>
        <w:t>including</w:t>
      </w:r>
      <w:r>
        <w:rPr>
          <w:shd w:fill="auto" w:val="clear"/>
        </w:rPr>
        <w:t xml:space="preserve"> 28 novel signatures. </w:t>
      </w:r>
      <w:r>
        <w:rPr>
          <w:shd w:fill="auto" w:val="clear"/>
        </w:rPr>
        <w:t>W</w:t>
      </w:r>
      <w:r>
        <w:rPr>
          <w:shd w:fill="auto" w:val="clear"/>
        </w:rPr>
        <w:t xml:space="preserve">e also </w:t>
      </w:r>
      <w:r>
        <w:rPr>
          <w:shd w:fill="auto" w:val="clear"/>
        </w:rPr>
        <w:t>identified</w:t>
      </w:r>
      <w:r>
        <w:rPr>
          <w:shd w:fill="auto" w:val="clear"/>
        </w:rPr>
        <w:t xml:space="preserve"> 15 novel signatures in the older 83-type classification.  Although algorithmic translation between signatures in the </w:t>
      </w:r>
      <w:r>
        <w:rPr>
          <w:shd w:fill="auto" w:val="clear"/>
        </w:rPr>
        <w:t xml:space="preserve">two </w:t>
      </w:r>
      <w:r>
        <w:rPr>
          <w:shd w:fill="auto" w:val="clear"/>
        </w:rPr>
        <w:t xml:space="preserve">classification </w:t>
      </w:r>
      <w:r>
        <w:rPr>
          <w:shd w:fill="auto" w:val="clear"/>
        </w:rPr>
        <w:t>schemes</w:t>
      </w:r>
      <w:r>
        <w:rPr>
          <w:shd w:fill="auto" w:val="clear"/>
        </w:rPr>
        <w:t xml:space="preserve"> is impossible, we leveraged tumor mutational spectra dominated by individual signatures to exhaustively elucidate the correspondences between signatures in the two classification systems.  </w:t>
      </w:r>
      <w:r>
        <w:rPr>
          <w:shd w:fill="auto" w:val="clear"/>
        </w:rPr>
        <w:t>W</w:t>
      </w:r>
      <w:r>
        <w:rPr>
          <w:rFonts w:hint="eastAsia"/>
          <w:shd w:fill="auto" w:val="clear"/>
        </w:rPr>
        <w:t xml:space="preserve">e </w:t>
      </w:r>
      <w:r>
        <w:rPr>
          <w:rFonts w:hint="eastAsia"/>
          <w:shd w:fill="auto" w:val="clear"/>
        </w:rPr>
        <w:t xml:space="preserve">also </w:t>
      </w:r>
      <w:r>
        <w:rPr>
          <w:rFonts w:hint="eastAsia"/>
          <w:shd w:fill="auto" w:val="clear"/>
        </w:rPr>
        <w:t xml:space="preserve">used </w:t>
      </w:r>
      <w:r>
        <w:rPr>
          <w:shd w:fill="auto" w:val="clear"/>
        </w:rPr>
        <w:t>cell-line experiments to</w:t>
      </w:r>
      <w:r>
        <w:rPr>
          <w:rFonts w:hint="eastAsia"/>
          <w:shd w:fill="auto" w:val="clear"/>
        </w:rPr>
        <w:t xml:space="preserve"> show that </w:t>
      </w:r>
      <w:r>
        <w:rPr>
          <w:shd w:fill="auto" w:val="clear"/>
        </w:rPr>
        <w:t>one</w:t>
      </w:r>
      <w:r>
        <w:rPr>
          <w:rFonts w:hint="eastAsia"/>
          <w:shd w:fill="auto" w:val="clear"/>
        </w:rPr>
        <w:t xml:space="preserve"> </w:t>
      </w:r>
      <w:r>
        <w:rPr>
          <w:shd w:fill="auto" w:val="clear"/>
        </w:rPr>
        <w:t>novel signature</w:t>
      </w:r>
      <w:r>
        <w:rPr>
          <w:rFonts w:hint="eastAsia"/>
          <w:shd w:fill="auto" w:val="clear"/>
        </w:rPr>
        <w:t xml:space="preserve"> </w:t>
      </w:r>
      <w:r>
        <w:rPr>
          <w:shd w:fill="auto" w:val="clear"/>
        </w:rPr>
        <w:t>is caused by transcription-associated mutagenesis by topoisomerase 1 at sites of genomically incorporated ribonu</w:t>
      </w:r>
      <w:r>
        <w:rPr>
          <w:shd w:fill="auto" w:val="clear"/>
        </w:rPr>
        <w:t xml:space="preserve">cleotides. We provide a web site for exploring these signatures, the relationships between signatures in the two classifications, and signature attributions in specific tumors, and signatures’ relationships to genomic topography. </w:t>
      </w:r>
    </w:p>
    <w:p>
      <w:pPr>
        <w:pStyle w:val="normalfirst"/>
        <w:rPr>
          <w:highlight w:val="none"/>
          <w:shd w:fill="auto" w:val="clear"/>
        </w:rPr>
      </w:pPr>
      <w:r>
        <w:rPr>
          <w:shd w:fill="auto" w:val="clear"/>
        </w:rPr>
        <w:t>(Currently 235 words)</w:t>
      </w:r>
    </w:p>
    <w:p>
      <w:pPr>
        <w:pStyle w:val="normalfirst"/>
        <w:rPr>
          <w:rFonts w:hint="eastAsia"/>
        </w:rPr>
      </w:pPr>
      <w:r>
        <w:rPr>
          <w:rFonts w:hint="eastAsia"/>
        </w:rPr>
      </w:r>
    </w:p>
    <w:p>
      <w:pPr>
        <w:pStyle w:val="normalfirst"/>
        <w:rPr>
          <w:rFonts w:hint="eastAsia"/>
        </w:rPr>
      </w:pPr>
      <w:r>
        <w:rPr>
          <w:rFonts w:hint="eastAsia"/>
        </w:rPr>
      </w:r>
    </w:p>
    <w:p>
      <w:pPr>
        <w:pStyle w:val="normalfirst"/>
        <w:rPr>
          <w:rFonts w:hint="eastAsia"/>
        </w:rPr>
      </w:pPr>
      <w:r>
        <w:rPr>
          <w:rFonts w:hint="eastAsia"/>
        </w:rPr>
      </w:r>
    </w:p>
    <w:p>
      <w:pPr>
        <w:pStyle w:val="normalfirst"/>
        <w:rPr/>
      </w:pPr>
      <w:r>
        <w:rPr>
          <w:rFonts w:hint="eastAsia"/>
        </w:rPr>
        <w:t xml:space="preserve">The 89-type classification offered improved discrimination between different signatures associated with microsatellite instability, and 4 of the novel signatures were associated with microsatellite instability. </w:t>
      </w:r>
    </w:p>
    <w:p>
      <w:pPr>
        <w:pStyle w:val="normalfirst"/>
        <w:rPr>
          <w:rFonts w:hint="eastAsia"/>
        </w:rPr>
      </w:pPr>
      <w:r>
        <w:rPr>
          <w:rFonts w:hint="eastAsia"/>
        </w:rPr>
      </w:r>
    </w:p>
    <w:p>
      <w:pPr>
        <w:pStyle w:val="normalfirst"/>
        <w:rPr>
          <w:rFonts w:hint="eastAsia"/>
          <w:highlight w:val="none"/>
          <w:shd w:fill="FFFF00" w:val="clear"/>
        </w:rPr>
      </w:pPr>
      <w:r>
        <w:rPr>
          <w:rFonts w:hint="eastAsia"/>
          <w:shd w:fill="FFFF00" w:val="clear"/>
        </w:rPr>
        <w:t>Possible additional abstract points</w:t>
      </w:r>
    </w:p>
    <w:p>
      <w:pPr>
        <w:pStyle w:val="normalfirst"/>
        <w:rPr/>
      </w:pPr>
      <w:r>
        <w:rPr/>
        <w:t xml:space="preserve">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p>
    <w:p>
      <w:pPr>
        <w:pStyle w:val="normalfirst"/>
        <w:rPr/>
      </w:pP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w:t>
      </w:r>
    </w:p>
    <w:p>
      <w:pPr>
        <w:pStyle w:val="normalfirst"/>
        <w:rPr/>
      </w:pPr>
      <w:r>
        <w:rPr/>
      </w:r>
    </w:p>
    <w:p>
      <w:pPr>
        <w:pStyle w:val="normalfirst"/>
        <w:rPr/>
      </w:pPr>
      <w:r>
        <w:rPr/>
        <w:t xml:space="preserve">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p>
    <w:p>
      <w:pPr>
        <w:pStyle w:val="normalfirst"/>
        <w:rPr/>
      </w:pPr>
      <w:r>
        <w:rPr>
          <w:shd w:fill="FFFF00" w:val="clear"/>
        </w:rPr>
        <w:t xml:space="preserve">We provide a web site for exploring these signatures, the relationships between signatures in the two classifications, and signature attributions in specific tumors, and signatures’ relationships to genomic topography. </w:t>
      </w:r>
    </w:p>
    <w:p>
      <w:pPr>
        <w:pStyle w:val="Normal"/>
        <w:rPr/>
      </w:pPr>
      <w:r>
        <w:rPr/>
        <w:t>NOTES: abstract: 425 words; note, nat genet abst limit 150, 4000 words 8 display items</w:t>
      </w:r>
    </w:p>
    <w:p>
      <w:pPr>
        <w:pStyle w:val="Normal"/>
        <w:rPr/>
      </w:pPr>
      <w:r>
        <w:rPr/>
        <w:t>cancer research, 250 words; cancer discovery 150 words; cell genomics, 150 words</w:t>
      </w:r>
    </w:p>
    <w:p>
      <w:pPr>
        <w:pStyle w:val="Normal"/>
        <w:rPr/>
      </w:pPr>
      <w:r>
        <w:rPr/>
        <w:t>genome research 250 words</w:t>
      </w:r>
    </w:p>
    <w:p>
      <w:pPr>
        <w:pStyle w:val="Normal"/>
        <w:rPr/>
      </w:pPr>
      <w:r>
        <w:rPr/>
        <w:t>NOTE: idels → frame shift</w:t>
      </w:r>
    </w:p>
    <w:p>
      <w:pPr>
        <w:pStyle w:val="Normal"/>
        <w:rPr/>
      </w:pPr>
      <w:r>
        <w:rPr/>
        <w:t xml:space="preserve">NOTE: Koh et al. Extracted from tumor types: bladder (n = 347), brain (CNS, n = 392), colorectal (n = 2,146), endometrial (n = 695), lung (n = 958), stomach (n = 181) and skin (n = 56) cancers from the GEL 100,000 Genomes Project35 Strelka (page 1136, top right column)  </w:t>
      </w:r>
      <w:hyperlink r:id="rId3">
        <w:r>
          <w:rPr>
            <w:rStyle w:val="Hyperlink"/>
          </w:rPr>
          <w:t>https://signal.mutationalsignatures.com/explore/main/cancer/signatures?mutationType=3&amp;study=7</w:t>
        </w:r>
      </w:hyperlink>
    </w:p>
    <w:p>
      <w:pPr>
        <w:pStyle w:val="Normal"/>
        <w:rPr/>
      </w:pPr>
      <w:r>
        <w:rPr/>
        <w:t>We extracted from 32 types &gt; 4 times as many (koh extracted from 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 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and mismatch repair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w:t>
      </w:r>
      <w:r>
        <w:rPr>
          <w:shd w:fill="FFFF00" w:val="clear"/>
        </w:rPr>
        <w:t xml:space="preserve"> &lt;add Mini’s MSI paper, and Koh et al&gt;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and COSMIC v3.5 catalogs 25 indel signatures compared to 78 SBS signatures. </w:t>
      </w:r>
    </w:p>
    <w:p>
      <w:pPr>
        <w:pStyle w:val="Normal"/>
        <w:rPr>
          <w:shd w:fill="FFFF00" w:val="clear"/>
        </w:rPr>
      </w:pPr>
      <w:r>
        <w:rPr>
          <w:shd w:fill="FFFF00" w:val="clear"/>
        </w:rPr>
        <w:t xml:space="preserve">&lt;check Koh et all counts 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 xml:space="preserve">&lt;how many indel signatures do we classify?&gt; </w:t>
      </w:r>
    </w:p>
    <w:p>
      <w:pPr>
        <w:pStyle w:val="Normal"/>
        <w:rPr/>
      </w:pPr>
      <w:r>
        <w:rPr/>
        <w:t xml:space="preserve">There are two main systems for classifying indel mutations. The established </w:t>
      </w:r>
      <w:r>
        <w:rPr/>
        <w:t>83-type</w:t>
      </w:r>
      <w:r>
        <w:rPr/>
        <w:t xml:space="preserve"> </w:t>
      </w:r>
      <w:r>
        <w:rPr/>
        <w:t>scheme</w:t>
      </w:r>
      <w:r>
        <w:rPr/>
        <w:t xml:space="preserve"> </w:t>
      </w:r>
      <w:r>
        <w:rPr/>
        <w:t>recognizes</w:t>
      </w:r>
      <w:r>
        <w:rPr/>
        <w:t xml:space="preserve"> 83 </w:t>
      </w:r>
      <w:r>
        <w:rPr/>
        <w:t xml:space="preserve">indel </w:t>
      </w:r>
      <w:r>
        <w:rPr/>
        <w:t xml:space="preserve">types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w:t>
      </w:r>
      <w:r>
        <w:rPr/>
        <w:t>and is used on the</w:t>
      </w:r>
      <w:r>
        <w:rPr/>
        <w:t xml:space="preserve"> COSMIC web site (https://cancer.sanger.ac.uk/signatures/id/, </w:t>
      </w:r>
      <w:hyperlink r:id="rId4">
        <w:r>
          <w:rPr>
            <w:rStyle w:val="Hyperlink"/>
          </w:rPr>
          <w:t>https://cancer.sanger.ac.uk/signatures/documents/4/PCAWG7_indel_classification_2021_08_31.xlsx</w:t>
        </w:r>
      </w:hyperlink>
      <w:r>
        <w:rPr/>
        <w:t xml:space="preserve">, Figure 1A). The </w:t>
      </w:r>
      <w:r>
        <w:rPr/>
        <w:t>new 89-type classification scheme recognizes</w:t>
      </w:r>
      <w:r>
        <w:rPr/>
        <w:t xml:space="preserve"> 89 </w:t>
      </w:r>
      <w:r>
        <w:rPr/>
        <w:t xml:space="preserve">indel </w:t>
      </w:r>
      <w:r>
        <w:rPr/>
        <w:t xml:space="preserve">types </w:t>
      </w:r>
      <w:r>
        <w:rPr/>
        <w:t xml:space="preserve">and in many cases, but not all, provides better discrimination between mutational patterns </w:t>
      </w:r>
      <w:r>
        <w:rPr/>
        <w:t xml:space="preserve">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Of note, algorithmic translation between the two classification systems is impossible, even using a more fine-grained </w:t>
      </w:r>
      <w:r>
        <w:rPr/>
        <w:t xml:space="preserve">classification </w:t>
      </w:r>
      <w:r>
        <w:rPr/>
        <w:t xml:space="preserve">system of 476 indel types  </w:t>
      </w:r>
      <w:r>
        <w:rPr>
          <w:shd w:fill="FFFF00" w:val="clear"/>
        </w:rPr>
        <w:t>&lt;ref koh et al.&gt; (Table S XXXX)</w:t>
      </w:r>
    </w:p>
    <w:p>
      <w:pPr>
        <w:pStyle w:val="Normal"/>
        <w:rPr/>
      </w:pPr>
      <w:r>
        <w:rPr/>
        <w:t xml:space="preserve">The </w:t>
      </w:r>
      <w:r>
        <w:rPr>
          <w:rFonts w:hint="eastAsia"/>
        </w:rPr>
        <w:t>83-ty</w:t>
      </w:r>
      <w:r>
        <w:rPr/>
        <w:t>pe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the 83-type system incorporates</w:t>
      </w:r>
      <w:r>
        <w:rPr>
          <w:rFonts w:hint="eastAsia"/>
        </w:rPr>
        <w:t xml:space="preserve"> the presence of microhomology</w:t>
      </w:r>
      <w:r>
        <w:rPr/>
        <w:t xml:space="preserve">. Microhomology is </w:t>
      </w:r>
      <w:r>
        <w:rPr>
          <w:rFonts w:hint="eastAsia"/>
        </w:rPr>
        <w:t>a hallmark of error-prone DNA repair by non-homologous end-joining, which</w:t>
      </w:r>
      <w:r>
        <w:rP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 xml:space="preserve">Koh et al., &lt;reference&gt; showed that for indels of a single T or C, making distinctions based on the non-T (respectively, the non-C) flaking bases substantially improves resolution of signatures involving single-base indels. For example, the 89-type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83-type classification does not capture. At the same time, however, for deletions of a single T, the 89-type classification groups together deletions of a single T in isolation along with deletions of a single T from repeats of 2 to 4 Ts, a distinction that </w:t>
      </w:r>
      <w:r>
        <w:rPr/>
        <w:t xml:space="preserve">the </w:t>
      </w:r>
      <w:r>
        <w:rPr/>
        <w:t>83-type makes (Figure 1B versus Figure 1C). Furthermore, the 89-type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83-type classification. </w:t>
      </w:r>
    </w:p>
    <w:p>
      <w:pPr>
        <w:pStyle w:val="Normal"/>
        <w:rPr/>
      </w:pPr>
      <w:r>
        <w:rPr/>
        <w:t xml:space="preserve">There advantages to each of the two indel classification systems. In the 83-type system, the AA signature shows that the most common deletion of a single T occurs as V1TV2 &gt; V1V2, where V indicates any base other than T, and V1 need not be the same as V2. This is a distinction that </w:t>
      </w:r>
      <w:r>
        <w:rPr/>
        <w:t xml:space="preserve">the </w:t>
      </w:r>
      <w:r>
        <w:rPr/>
        <w:t>89-type AA signature does not capture. However, the 89-type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 xml:space="preserve">Here, we analyzed somatic indels in </w:t>
      </w:r>
      <w:r>
        <w:rPr>
          <w:rFonts w:hint="eastAsia"/>
        </w:rPr>
        <w:t>6,975</w:t>
      </w:r>
      <w:r>
        <w:rPr/>
        <w:t xml:space="preserve"> whole genomes to create a comprehensive collection of indel mutational signatures using both the 83-type and 89-type classification schemes using approaches based on hierarchical Dirichlet processes and on non-negative matrix factorization.  To systematically compare the two signature catalogs, we developed and applied a new pipeline to match </w:t>
      </w:r>
      <w:r>
        <w:rPr/>
        <w:t xml:space="preserve">the </w:t>
      </w:r>
      <w:r>
        <w:rPr/>
        <w:t>8</w:t>
      </w:r>
      <w:r>
        <w:rPr>
          <w:rFonts w:hint="eastAsia"/>
        </w:rPr>
        <w:t>3-ty</w:t>
      </w:r>
      <w:r>
        <w:rPr/>
        <w:t>pe and 8</w:t>
      </w:r>
      <w:r>
        <w:rPr>
          <w:rFonts w:hint="eastAsia"/>
        </w:rPr>
        <w:t>9-type</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 xml:space="preserve">&lt;need to edit later&gt; Together, our analyses provide an expanded and detailed landscape of both </w:t>
      </w:r>
      <w:r>
        <w:rPr>
          <w:shd w:fill="FFFF00" w:val="clear"/>
        </w:rPr>
        <w:t xml:space="preserve">the </w:t>
      </w:r>
      <w:r>
        <w:rPr>
          <w:shd w:fill="FFFF00" w:val="clear"/>
        </w:rPr>
        <w:t>8</w:t>
      </w:r>
      <w:r>
        <w:rPr>
          <w:rFonts w:hint="eastAsia"/>
          <w:shd w:fill="FFFF00" w:val="clear"/>
        </w:rPr>
        <w:t>3-ty</w:t>
      </w:r>
      <w:r>
        <w:rPr>
          <w:shd w:fill="FFFF00" w:val="clear"/>
        </w:rPr>
        <w:t>pe and 8</w:t>
      </w:r>
      <w:r>
        <w:rPr>
          <w:rFonts w:hint="eastAsia"/>
          <w:shd w:fill="FFFF00" w:val="clear"/>
        </w:rPr>
        <w:t>9-type</w:t>
      </w:r>
      <w:r>
        <w:rPr>
          <w:shd w:fill="FFFF00" w:val="clear"/>
        </w:rPr>
        <w:t xml:space="preserve"> mutational signatures, their contributions to key cancer genes, associations to SBSs and sex, as well as their replication timing, replication strand bias, and genic versus intergenic distributions, and provide a web site to facilitate exploration of these signatures</w:t>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 xml:space="preserve">We extracted signatures from somatic indels spectra from a total of xxxxx cancer genomes </w:t>
      </w:r>
      <w:r>
        <w:rPr>
          <w:shd w:fill="FFFF00" w:val="clear"/>
        </w:rPr>
        <w:t xml:space="preserve">s2,780 cancer genomesf&lt;data source in methods&gt; rom (The ICGC/TCGA Pan-Cancer Analysis of Whole Genomes Consortium et al. 2020) and 3,430 cancer genomes from the Hartwig Medical Foundation (HMF) </w:t>
      </w:r>
      <w:r>
        <w:rPr>
          <w:shd w:fill="auto" w:val="clear"/>
        </w:rPr>
        <w:t>(Priestley et al. 2019) encompassing 32 cancer types  (spectra in Supplementary Tables S</w:t>
      </w:r>
      <w:r>
        <w:rPr>
          <w:rFonts w:hint="eastAsia"/>
          <w:shd w:fill="auto" w:val="clear"/>
        </w:rPr>
        <w:t>8 and S9)</w:t>
      </w:r>
      <w:r>
        <w:rPr>
          <w:shd w:fill="auto" w:val="clear"/>
        </w:rPr>
        <w:t xml:space="preserve">.  </w:t>
      </w:r>
      <w:r>
        <w:rPr>
          <w:shd w:fill="77BC65" w:val="clear"/>
        </w:rPr>
        <w:t>&lt;Note our types: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 xml:space="preserve">We identified a comprehensive set of 45 mutational signatures in the 89-type classification and </w:t>
      </w:r>
      <w:r>
        <w:rPr>
          <w:shd w:fill="FFFF00" w:val="clear"/>
        </w:rPr>
        <w:t xml:space="preserve">33 </w:t>
      </w:r>
      <w:r>
        <w:rPr>
          <w:shd w:fill="auto" w:val="clear"/>
        </w:rPr>
        <w:t>signatures in 83-type classification</w:t>
      </w:r>
      <w:r>
        <w:rPr>
          <w:rFonts w:hint="eastAsia"/>
          <w:shd w:fill="auto" w:val="clear"/>
        </w:rPr>
        <w:t xml:space="preserve"> (Figures 2,3, and Table 1)</w:t>
      </w:r>
      <w:r>
        <w:rPr>
          <w:shd w:fill="auto" w:val="clear"/>
        </w:rPr>
        <w:t xml:space="preserve">.  &lt;change sentence order&gt; We re-identified 18 of the 25 COSMIC indel reference signatures, and detected </w:t>
      </w:r>
      <w:r>
        <w:rPr>
          <w:shd w:fill="FFFF00" w:val="clear"/>
        </w:rPr>
        <w:t>15</w:t>
      </w:r>
      <w:r>
        <w:rPr>
          <w:shd w:fill="auto" w:val="clear"/>
        </w:rPr>
        <w:t xml:space="preserve"> that were novel</w:t>
      </w:r>
    </w:p>
    <w:p>
      <w:pPr>
        <w:pStyle w:val="normalfirst"/>
        <w:rPr>
          <w:shd w:fill="auto" w:val="clear"/>
        </w:rPr>
      </w:pPr>
      <w:r>
        <w:rPr>
          <w:shd w:fill="auto" w:val="clear"/>
        </w:rPr>
        <w:t>&lt;Table 1 should show similarity to cosmic sig plus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ID20 (no specific tissue distribution noted, based on medarxiv paper reporting analysis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We re-identified </w:t>
      </w:r>
      <w:r>
        <w:rPr>
          <w:shd w:fill="FF7B59" w:val="clear"/>
        </w:rPr>
        <w:t>18</w:t>
      </w:r>
      <w:r>
        <w:rPr>
          <w:shd w:fill="auto" w:val="clear"/>
        </w:rPr>
        <w:t xml:space="preserve"> of the 33 non-artifactual signatures in </w:t>
      </w:r>
      <w:r>
        <w:rPr>
          <w:shd w:fill="FFFF00" w:val="clear"/>
        </w:rPr>
        <w:t xml:space="preserve">&lt;ref the Koh paper&gt; </w:t>
      </w:r>
      <w:r>
        <w:rPr>
          <w:shd w:fill="auto" w:val="clear"/>
        </w:rPr>
        <w:t xml:space="preserve">and identified </w:t>
      </w:r>
      <w:r>
        <w:rPr>
          <w:shd w:fill="FF7B59" w:val="clear"/>
        </w:rPr>
        <w:t xml:space="preserve">28 </w:t>
      </w:r>
      <w:r>
        <w:rPr>
          <w:shd w:fill="auto" w:val="clear"/>
        </w:rPr>
        <w:t xml:space="preserve">novel signatures in the 89-type classification. Of the signatures in &lt;ref the Koh paper&gt; that we did not re-identify, 8 can be reconstructed by </w:t>
      </w:r>
      <w:r>
        <w:rPr>
          <w:rFonts w:eastAsia="Liberation Serif" w:cs="Liberation Serif" w:ascii="Liberation Serif" w:hAnsi="Liberation Serif"/>
          <w:shd w:fill="auto" w:val="clear"/>
        </w:rPr>
        <w:t>≤</w:t>
      </w:r>
      <w:r>
        <w:rPr>
          <w:rFonts w:eastAsia="DejaVu Sans" w:cs="Times New Roman"/>
          <w:shd w:fill="auto" w:val="clear"/>
        </w:rPr>
        <w:t xml:space="preserve"> 3 other signatures in the 89-type classification &lt;ref to some internal sup fig&gt; , and 7 were not found &lt;</w:t>
      </w:r>
      <w:r>
        <w:rPr>
          <w:rFonts w:eastAsia="DejaVu Sans" w:cs="Times New Roman"/>
          <w:shd w:fill="FFFF00" w:val="clear"/>
        </w:rPr>
        <w:t xml:space="preserve">not present? How do we know this?&gt; </w:t>
      </w:r>
      <w:r>
        <w:rPr>
          <w:rFonts w:eastAsia="DejaVu Sans" w:cs="Times New Roman"/>
          <w:shd w:fill="auto" w:val="clear"/>
        </w:rPr>
        <w:t>in the data we analyzed.</w:t>
      </w:r>
      <w:r>
        <w:rPr>
          <w:shd w:fill="auto" w:val="clear"/>
        </w:rPr>
        <w:t xml:space="preserve"> </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We designate signatures in 89-type classification that we extracted with the prefix InsDel (e.g. InsDel23 in Figure 1B). We based the numbering of signatures in the 89-type classification on the numbering in </w:t>
      </w:r>
      <w:r>
        <w:rPr>
          <w:shd w:fill="FFFF00" w:val="clear"/>
        </w:rPr>
        <w:t>&lt;ref cosmic&gt;, and  wh</w:t>
      </w:r>
      <w:r>
        <w:rPr/>
        <w:t xml:space="preserve">en a single signature in the 83-type classification can be subdivided into several several signatures in the 89-type classification, we distinguish the latter by single-letter suffixes. For example, </w:t>
      </w:r>
      <w:r>
        <w:rPr/>
        <w:t xml:space="preserve">the </w:t>
      </w:r>
      <w:r>
        <w:rPr/>
        <w:t xml:space="preserve">83-type signature ID1 maps to </w:t>
      </w:r>
      <w:r>
        <w:rPr/>
        <w:t xml:space="preserve">the 89-type </w:t>
      </w:r>
      <w:r>
        <w:rPr/>
        <w:t xml:space="preserve">InsDel1a, InsDel1b, InsDel1c, and InsDel1d </w:t>
      </w:r>
      <w:r>
        <w:rPr/>
        <w:t>signatures</w:t>
      </w:r>
      <w:r>
        <w:rPr/>
        <w:t>.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83-type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89-type signatures were named according to their corresponding 83-type signatures (designated as InsDelx for matches to C_IDx or H_IDx</w:t>
      </w:r>
      <w:r>
        <w:rPr>
          <w:rFonts w:hint="eastAsia"/>
        </w:rPr>
        <w:t xml:space="preserve">, details in Methods, </w:t>
      </w:r>
      <w:r>
        <w:rPr>
          <w:rFonts w:hint="eastAsia"/>
          <w:shd w:fill="C0C0C0" w:val="clear"/>
        </w:rPr>
        <w:t>Vignettes</w:t>
      </w:r>
      <w:r>
        <w:rPr/>
        <w:t>). If multiple 89-type signatures mapped to a single 83-type signature, they were named InsDelx_a, InsDelx_b, and so forth.</w:t>
      </w:r>
      <w:r>
        <w:rPr>
          <w:rFonts w:hint="eastAsia"/>
        </w:rPr>
        <w:t xml:space="preserve"> </w:t>
      </w:r>
    </w:p>
    <w:p>
      <w:pPr>
        <w:pStyle w:val="Normal"/>
        <w:rPr/>
      </w:pPr>
      <w:r>
        <w:rPr/>
        <w:t>Our analysis primarily focuses on groups (a) and (c). Overall, we identified 33 distinct 83-type signatures and 41 89-type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83-type signatures</w:t>
      </w:r>
    </w:p>
    <w:p>
      <w:pPr>
        <w:pStyle w:val="Normal"/>
        <w:rPr/>
      </w:pPr>
      <w:r>
        <w:rPr/>
        <w:t xml:space="preserve">The mSigHdp analysis successfully re-identified signatures similar to 18 of the 23 </w:t>
      </w:r>
      <w:r>
        <w:rPr/>
        <w:t>83-type signatures in</w:t>
      </w:r>
      <w:r>
        <w:rPr/>
        <w:t xml:space="preserve"> COSMIC (v3.</w:t>
      </w:r>
      <w:r>
        <w:rPr/>
        <w:t xml:space="preserve">5; </w:t>
      </w:r>
      <w:r>
        <w:rPr>
          <w:rFonts w:hint="eastAsia"/>
        </w:rPr>
        <w:t>C_ID1 to C_ID23 in Figure2)</w:t>
      </w:r>
      <w:r>
        <w:rPr/>
        <w:t>. The remaining five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 xml:space="preserve">Since 89-type signatures are not cataloged in COSMIC, we compared </w:t>
      </w:r>
      <w:r>
        <w:rPr/>
        <w:t xml:space="preserve">the </w:t>
      </w:r>
      <w:r>
        <w:rPr/>
        <w:t>89-</w:t>
      </w:r>
      <w:r>
        <w:rPr/>
        <w:t>types</w:t>
      </w:r>
      <w:r>
        <w:rPr/>
        <w:t xml:space="preserve"> signatures </w:t>
      </w:r>
      <w:r>
        <w:rPr/>
        <w:t xml:space="preserve">that we extracted </w:t>
      </w:r>
      <w:r>
        <w:rPr/>
        <w:t xml:space="preserve">to the 37 </w:t>
      </w:r>
      <w:r>
        <w:rPr/>
        <w:t>89-type</w:t>
      </w:r>
      <w:r>
        <w:rPr/>
        <w:t xml:space="preserve"> signatures reported by Koh et al., 2025. Of these, 21 were recapitulated in our analysis, while 10 were not identified—either due to being artefactual or absent from the PCAWG or HMF datasets. An additional six Koh et al. signatures could be reconstructed using 89-</w:t>
      </w:r>
      <w:r>
        <w:rPr/>
        <w:t>type</w:t>
      </w:r>
      <w:r>
        <w:rPr/>
        <w:t xml:space="preserve"> signatures </w:t>
      </w:r>
      <w:r>
        <w:rPr/>
        <w:t>that we extracted</w:t>
      </w:r>
      <w:r>
        <w:rPr/>
        <w:t xml:space="preserve"> (see Methods and Table S</w:t>
      </w:r>
      <w:r>
        <w:rPr>
          <w:rFonts w:hint="eastAsia"/>
        </w:rPr>
        <w:t>1</w:t>
      </w:r>
      <w:r>
        <w:rPr/>
        <w:t xml:space="preserve">). Beyond the signatures reported by Koh et al., we identified 23 </w:t>
      </w:r>
      <w:r>
        <w:rPr/>
        <w:t>new 89-type</w:t>
      </w:r>
      <w:r>
        <w:rPr/>
        <w:t xml:space="preserve"> signatures. </w:t>
      </w:r>
      <w:r>
        <w:rPr/>
        <w:t xml:space="preserve">Of these, </w:t>
      </w:r>
      <w:r>
        <w:rPr/>
        <w:t xml:space="preserve"> 12 </w:t>
      </w:r>
      <w:r>
        <w:rPr/>
        <w:t>map to 83-type signatures, 10 correspond to the novel 83-type signatures, and one does not align with any 83-type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89-type</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89-type</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83-type and 41 89-type</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 xml:space="preserve">specialized for 83-type spectra: </w:t>
      </w:r>
      <w:r>
        <w:rPr>
          <w:rFonts w:hint="eastAsia"/>
          <w:shd w:fill="FFFF00" w:val="clear"/>
        </w:rPr>
        <w:t>&lt;Mo to provide sup fig showing this&gt;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xml:space="preserve">). 89-type signature assignments revealed strong concordance with </w:t>
      </w:r>
      <w:r>
        <w:rPr/>
        <w:t>the</w:t>
      </w:r>
      <w:r>
        <w:rPr/>
        <w:t xml:space="preserve"> 83-type signatures when a one-to-one mapping was present. 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89-type signatures can distinguish more nuanced mutational processes—showing distinct correlation patterns </w:t>
      </w:r>
      <w:r>
        <w:rPr>
          <w:rFonts w:hint="eastAsia"/>
        </w:rPr>
        <w:t>with SBS signatures</w:t>
      </w:r>
      <w:r>
        <w:rPr/>
        <w:t xml:space="preserve">—highlighting the greater resolution and specificity provided by the 89-type taxonomy compared to </w:t>
      </w:r>
      <w:r>
        <w:rPr/>
        <w:t>the 83-type classification scheme.</w:t>
      </w:r>
      <w:r>
        <w:rPr/>
        <w:t xml:space="preserve">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 xml:space="preserve">We evaluated the interplay between our </w:t>
      </w:r>
      <w:r>
        <w:rPr/>
        <w:t>the 83-type signatures that we identified and several</w:t>
      </w:r>
      <w:r>
        <w:rPr/>
        <w:t xml:space="preserve">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w:t>
      </w:r>
      <w:r>
        <w:rPr/>
        <w:t>8</w:t>
      </w:r>
      <w:r>
        <w:rPr/>
        <w:t>3-</w:t>
      </w:r>
      <w:r>
        <w:rPr/>
        <w:t>type</w:t>
      </w:r>
      <w:r>
        <w:rPr/>
        <w:t xml:space="preserve">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83</w:t>
      </w:r>
      <w:r>
        <w:rPr>
          <w:rFonts w:hint="eastAsia"/>
        </w:rPr>
        <w:t>-</w:t>
      </w:r>
      <w:r>
        <w:rPr/>
        <w:t xml:space="preserve">type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83-type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83-type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w:t>
      </w:r>
      <w:r>
        <w:rPr/>
        <w:t xml:space="preserve">the </w:t>
      </w:r>
      <w:r>
        <w:rPr/>
        <w:t>83-type and 89-type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83-type signatures and their six corresponding 89-type signatures associated with MSI: C_ID2 (InsDel2b &amp; InsDel2c</w:t>
      </w:r>
      <w:r>
        <w:rPr>
          <w:rFonts w:hint="eastAsia"/>
        </w:rPr>
        <w:t>, Figure 7A</w:t>
      </w:r>
      <w:r>
        <w:rPr/>
        <w:t>), C_ID7 (InsDel7</w:t>
      </w:r>
      <w:r>
        <w:rPr>
          <w:rFonts w:hint="eastAsia"/>
        </w:rPr>
        <w:t>, Figure 7B</w:t>
      </w:r>
      <w:r>
        <w:rPr/>
        <w:t>), H_ID33 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89-type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83-type and 89-type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Importantly, previous analyses often failed to extract ID4 and ID_F&lt;OLD_H_ID29&gt; simultaneously, </w:t>
      </w:r>
      <w:r>
        <w:rPr>
          <w:shd w:fill="FFFF00" w:val="clear"/>
        </w:rPr>
        <w:t xml:space="preserve">&lt;steve soften this&gt; </w:t>
      </w:r>
      <w:r>
        <w:rPr/>
        <w:t xml:space="preserve">and frequently misclassified ID4 as generated by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t xml:space="preserve">. Here, for the first time, we identified C_ID4 and H_ID29, along with their corresponding 89-type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89-type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89-type analysis is currently limited to human genomes (Koh et al., 2025), and due to the strong resemblance between InDel29 and InDel4a</w:t>
      </w:r>
      <w:r>
        <w:rPr>
          <w:rFonts w:hint="eastAsia"/>
        </w:rPr>
        <w:t>/4b</w:t>
      </w:r>
      <w:r>
        <w:rPr/>
        <w:t xml:space="preserve"> and their corresponding </w:t>
      </w:r>
      <w:r>
        <w:rPr>
          <w:rFonts w:hint="eastAsia"/>
        </w:rPr>
        <w:t>83-type</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 xml:space="preserve">Leveraging a novel nonparametric Bayesian framework, we conducted mutational signature analysis on over </w:t>
      </w:r>
      <w:r>
        <w:rPr>
          <w:rFonts w:hint="eastAsia"/>
        </w:rPr>
        <w:t>6,975</w:t>
      </w:r>
      <w:r>
        <w:rP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pPr>
        <w:pStyle w:val="Normal"/>
        <w:rPr/>
      </w:pPr>
      <w:r>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 xml:space="preserve">However, challenges remain in connecting the nomenclature of 89-type signatures to the established </w:t>
      </w:r>
      <w:r>
        <w:rPr/>
        <w:t>83-type</w:t>
      </w:r>
      <w:r>
        <w:rPr/>
        <w:t xml:space="preserve"> signature</w:t>
      </w:r>
      <w:r>
        <w:rPr/>
        <w:t>s. For</w:t>
      </w:r>
      <w:r>
        <w:rPr/>
        <w:t xml:space="preserve">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w:t>
      </w:r>
      <w:r>
        <w:rPr/>
        <w:t>the</w:t>
      </w:r>
      <w:r>
        <w:rPr/>
        <w:t xml:space="preserve"> 83-type and 89-type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8</w:t>
      </w:r>
      <w:r>
        <w:rPr/>
        <w:t>3-ty</w:t>
      </w:r>
      <w:r>
        <w:rPr>
          <w:rFonts w:hint="eastAsia"/>
        </w:rPr>
        <w:t>pe</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5">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6">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83-type and 89-type</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7">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8">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9">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10">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r>
        <w:rPr>
          <w:rFonts w:hint="eastAsia"/>
        </w:rPr>
        <w:t>Funding</w:t>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end"/>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tru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signal.mutationalsignatures.com/explore/main/cancer/signatures?mutationType=3&amp;study=7" TargetMode="External"/><Relationship Id="rId4" Type="http://schemas.openxmlformats.org/officeDocument/2006/relationships/hyperlink" Target="https://cancer.sanger.ac.uk/signatures/documents/4/PCAWG7_indel_classification_2021_08_31.xlsx" TargetMode="External"/><Relationship Id="rId5" Type="http://schemas.openxmlformats.org/officeDocument/2006/relationships/hyperlink" Target="https://dcc.icgc.org/releases/current/Projects/" TargetMode="External"/><Relationship Id="rId6" Type="http://schemas.openxmlformats.org/officeDocument/2006/relationships/hyperlink" Target="https://cancer.sanger.ac.uk/cosmic/census?tier=1" TargetMode="External"/><Relationship Id="rId7" Type="http://schemas.openxmlformats.org/officeDocument/2006/relationships/hyperlink" Target="https://bmcbioinformatics.biomedcentral.com/articles/10.1186/s12859-020-03772-3" TargetMode="External"/><Relationship Id="rId8" Type="http://schemas.openxmlformats.org/officeDocument/2006/relationships/hyperlink" Target="https://doi.org/10.1016/j.celrep.2023.112930" TargetMode="External"/><Relationship Id="rId9" Type="http://schemas.openxmlformats.org/officeDocument/2006/relationships/hyperlink" Target="https://hgdownload.cse.ucsc.edu/goldenPath/hg19/encodeDCC/wgEncodeUwRepliSeq/" TargetMode="External"/><Relationship Id="rId10" Type="http://schemas.openxmlformats.org/officeDocument/2006/relationships/hyperlink" Target="https://genomebiology.biomedcentral.com/articles/10.1186/s13059-018-1509-y"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1869</TotalTime>
  <Application>LibreOffice/25.8.3.2$Linux_X86_64 LibreOffice_project/580$Build-2</Application>
  <AppVersion>15.0000</AppVersion>
  <Pages>39</Pages>
  <Words>10086</Words>
  <Characters>60583</Characters>
  <CharactersWithSpaces>70508</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2025-12-24T12:53:48Z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