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463DC5" w14:textId="77777777" w:rsidR="00205AD2" w:rsidRDefault="00205AD2" w:rsidP="00205AD2">
      <w:pPr>
        <w:pStyle w:val="Heading1"/>
      </w:pPr>
      <w:r>
        <w:t>Materials and methods</w:t>
      </w:r>
    </w:p>
    <w:p w14:paraId="61BC7A8B" w14:textId="77777777" w:rsidR="00205AD2" w:rsidRDefault="00205AD2" w:rsidP="00205AD2">
      <w:pPr>
        <w:pStyle w:val="Heading2"/>
      </w:pPr>
      <w:r>
        <w:t>Data sources</w:t>
      </w:r>
    </w:p>
    <w:p w14:paraId="16B60762" w14:textId="77777777" w:rsidR="00205AD2" w:rsidRDefault="00205AD2" w:rsidP="00205AD2">
      <w:pPr>
        <w:ind w:firstLine="0"/>
      </w:pPr>
      <w:r>
        <w:t>Somatic indel calls from the ICGC/TCGA (International Cancer Genome Consortium/The Cancer Genome Atlas) Pan-Cancer Analysis of Whole Genomes Consortium and associated clinical characteristics were obtained from the ICGC data portal (</w:t>
      </w:r>
      <w:hyperlink r:id="rId4">
        <w:r>
          <w:rPr>
            <w:rStyle w:val="Hyperlink"/>
          </w:rPr>
          <w:t>https://dcc.icgc.org/releases/current/Projects/</w:t>
        </w:r>
      </w:hyperlink>
      <w:r>
        <w:t xml:space="preserve">, which has been retired. The data </w:t>
      </w:r>
      <w:proofErr w:type="gramStart"/>
      <w:r>
        <w:t>were</w:t>
      </w:r>
      <w:proofErr w:type="gramEnd"/>
      <w:r>
        <w:t xml:space="preserve"> downloaded on 9 </w:t>
      </w:r>
      <w:proofErr w:type="gramStart"/>
      <w:r>
        <w:t>May,</w:t>
      </w:r>
      <w:proofErr w:type="gramEnd"/>
      <w:r>
        <w:t xml:space="preserve"> 2024. Hartwig Medical Foundation through standardized procedures and request forms that can be found at https://www.hartwigmedicalfoundation.nl/en/appyling-for-data/</w:t>
      </w:r>
      <w:r>
        <w:rPr>
          <w:rFonts w:hint="eastAsia"/>
        </w:rPr>
        <w:t>.</w:t>
      </w:r>
      <w:r>
        <w:t xml:space="preserve"> Clinical traits such as cancer type, age and gender of the HMF genomes were found from supplementary files of </w:t>
      </w:r>
      <w:r>
        <w:rPr>
          <w:color w:val="000000"/>
        </w:rPr>
        <w:t>Priestley et al., 2019.</w:t>
      </w:r>
      <w:r>
        <w:t xml:space="preserve"> These data </w:t>
      </w:r>
      <w:proofErr w:type="gramStart"/>
      <w:r>
        <w:t>was</w:t>
      </w:r>
      <w:proofErr w:type="gramEnd"/>
      <w:r>
        <w:t xml:space="preserve"> also provided in Table S</w:t>
      </w:r>
      <w:r>
        <w:rPr>
          <w:rFonts w:hint="eastAsia"/>
        </w:rPr>
        <w:t>10 &lt;OF Prieslty&gt;</w:t>
      </w:r>
      <w:r>
        <w:t xml:space="preserve">. The COSMIC Cancer Gene Census was used to identify known cancer driver genes </w:t>
      </w:r>
      <w:sdt>
        <w:sdtPr>
          <w:tag w:val="MENDELEY_CITATION_v3_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"/>
          <w:id w:val="91759893"/>
        </w:sdtPr>
        <w:sdtContent>
          <w:r>
            <w:rPr>
              <w:color w:val="000000"/>
            </w:rPr>
            <w:t>(Sondka et al., 2018</w:t>
          </w:r>
          <w:r>
            <w:rPr>
              <w:rFonts w:hint="eastAsia"/>
              <w:color w:val="000000"/>
            </w:rPr>
            <w:t xml:space="preserve">, downloaded from </w:t>
          </w:r>
          <w:hyperlink r:id="rId5">
            <w:r>
              <w:rPr>
                <w:rStyle w:val="Hyperlink"/>
              </w:rPr>
              <w:t>https://cancer.sanger.ac.uk/cosmic/census?tier=1</w:t>
            </w:r>
          </w:hyperlink>
          <w:r>
            <w:rPr>
              <w:rFonts w:hint="eastAsia"/>
              <w:color w:val="000000"/>
            </w:rPr>
            <w:t xml:space="preserve"> on 9 Jun, 2024</w:t>
          </w:r>
          <w:r>
            <w:rPr>
              <w:color w:val="000000"/>
            </w:rPr>
            <w:t>)</w:t>
          </w:r>
        </w:sdtContent>
      </w:sdt>
      <w:r>
        <w:t>.</w:t>
      </w:r>
    </w:p>
    <w:p w14:paraId="6045E8C1" w14:textId="77777777" w:rsidR="00205AD2" w:rsidRDefault="00205AD2" w:rsidP="00205AD2">
      <w:pPr>
        <w:pStyle w:val="Heading2"/>
      </w:pPr>
      <w:r>
        <w:t>Mutational signature extraction</w:t>
      </w:r>
    </w:p>
    <w:p w14:paraId="74FF301E" w14:textId="77777777" w:rsidR="00205AD2" w:rsidRDefault="00205AD2" w:rsidP="00205AD2">
      <w:r>
        <w:t xml:space="preserve">We used mSigHdp (v 2.1.2) for de novo mutational signature extraction analysis. When applying to all samples de novo mutational signatures were extracted using the cancer type to construct the hierarchy; when applying to </w:t>
      </w:r>
      <w:r>
        <w:rPr>
          <w:rFonts w:hint="eastAsia"/>
        </w:rPr>
        <w:t>genomes</w:t>
      </w:r>
      <w:r>
        <w:t xml:space="preserve"> of each cancer type</w:t>
      </w:r>
      <w:r>
        <w:rPr>
          <w:rFonts w:hint="eastAsia"/>
        </w:rPr>
        <w:t xml:space="preserve"> and high TMB genomes</w:t>
      </w:r>
      <w:r>
        <w:t xml:space="preserve">, the de novo mutational signatures were extracted with 2-layer HDP mixture models. In both </w:t>
      </w:r>
      <w:proofErr w:type="gramStart"/>
      <w:r>
        <w:t>scenario</w:t>
      </w:r>
      <w:proofErr w:type="gramEnd"/>
      <w:r>
        <w:t xml:space="preserve">, we used the following </w:t>
      </w:r>
      <w:r>
        <w:lastRenderedPageBreak/>
        <w:t>parameters</w:t>
      </w:r>
      <w:proofErr w:type="gramStart"/>
      <w:r>
        <w:t>:  seedNumber</w:t>
      </w:r>
      <w:proofErr w:type="gramEnd"/>
      <w:r>
        <w:t xml:space="preserve">=1234, burnin=1000, </w:t>
      </w:r>
      <w:proofErr w:type="gramStart"/>
      <w:r>
        <w:t>bunin.multiplier</w:t>
      </w:r>
      <w:proofErr w:type="gramEnd"/>
      <w:r>
        <w:t xml:space="preserve">=20, </w:t>
      </w:r>
      <w:proofErr w:type="gramStart"/>
      <w:r>
        <w:t>post.n</w:t>
      </w:r>
      <w:proofErr w:type="gramEnd"/>
      <w:r>
        <w:t xml:space="preserve"> = 200, </w:t>
      </w:r>
      <w:proofErr w:type="gramStart"/>
      <w:r>
        <w:t>post.space</w:t>
      </w:r>
      <w:proofErr w:type="gramEnd"/>
      <w:r>
        <w:t xml:space="preserve"> = 100, </w:t>
      </w:r>
      <w:proofErr w:type="gramStart"/>
      <w:r>
        <w:t>num.child</w:t>
      </w:r>
      <w:proofErr w:type="gramEnd"/>
      <w:r>
        <w:t xml:space="preserve">.process=20, </w:t>
      </w:r>
      <w:proofErr w:type="gramStart"/>
      <w:r>
        <w:t>gamma.alpha</w:t>
      </w:r>
      <w:proofErr w:type="gramEnd"/>
      <w:r>
        <w:t xml:space="preserve">=1, </w:t>
      </w:r>
      <w:proofErr w:type="gramStart"/>
      <w:r>
        <w:t>gamma.beta</w:t>
      </w:r>
      <w:proofErr w:type="gramEnd"/>
      <w:r>
        <w:t>=</w:t>
      </w:r>
      <w:r>
        <w:rPr>
          <w:rFonts w:hint="eastAsia"/>
        </w:rPr>
        <w:t>50</w:t>
      </w:r>
      <w:r>
        <w:t xml:space="preserve">. </w:t>
      </w:r>
    </w:p>
    <w:p w14:paraId="7CE5E056" w14:textId="77777777" w:rsidR="00205AD2" w:rsidRDefault="00205AD2" w:rsidP="00205AD2">
      <w:r>
        <w:t xml:space="preserve">For SigProfilerExtractor, </w:t>
      </w:r>
      <w:r>
        <w:rPr>
          <w:i/>
          <w:iCs/>
        </w:rPr>
        <w:t>de novo</w:t>
      </w:r>
      <w:r>
        <w:t xml:space="preserve"> mutational signatures were extracted from each mutational matrix using SigProfilerExtractor and default parameters (v1.1.24). NMF was performed with finding solutions between k = 10 and k = 30 signatures; each factorization was repeated 100 times.</w:t>
      </w:r>
      <w:r>
        <w:rPr>
          <w:rFonts w:hint="eastAsia"/>
        </w:rPr>
        <w:t xml:space="preserve"> We ran MuSiCal with the following parameters: min_n_components=9, max_n_components=33, method=</w:t>
      </w:r>
      <w:r>
        <w:rPr>
          <w:rFonts w:hint="eastAsia"/>
        </w:rPr>
        <w:t>“</w:t>
      </w:r>
      <w:r>
        <w:rPr>
          <w:rFonts w:hint="eastAsia"/>
        </w:rPr>
        <w:t>mvnmf</w:t>
      </w:r>
      <w:r>
        <w:rPr>
          <w:rFonts w:hint="eastAsia"/>
        </w:rPr>
        <w:t>”</w:t>
      </w:r>
      <w:r>
        <w:rPr>
          <w:rFonts w:hint="eastAsia"/>
        </w:rPr>
        <w:t>, n_replicates=100, max_iter=10000, min_iter=1000.</w:t>
      </w:r>
    </w:p>
    <w:p w14:paraId="19DC43BF" w14:textId="77777777" w:rsidR="00205AD2" w:rsidRDefault="00205AD2" w:rsidP="00205AD2">
      <w:r>
        <w:t>Match mSigHdp signatures into COSMIC reference signatures</w:t>
      </w:r>
    </w:p>
    <w:p w14:paraId="321FBDA5" w14:textId="77777777" w:rsidR="00205AD2" w:rsidRDefault="00205AD2" w:rsidP="00205AD2">
      <w:r>
        <w:t>The mSigHdp signatures were matched to previously identified COSMIC signatures (v3.4). We compared all de novo signatures to COSMIC signatures and categorized them into three groups: (1) known signature: if a mSigHdp signature has a cosine similarity of ≥ 0.</w:t>
      </w:r>
      <w:r>
        <w:rPr>
          <w:rFonts w:hint="eastAsia"/>
        </w:rPr>
        <w:t>85</w:t>
      </w:r>
      <w:r>
        <w:t xml:space="preserve"> with a COSMIC signature; (2) merged signatures: if a mSigHdp signatures can be reconstructed by at most </w:t>
      </w:r>
      <w:r>
        <w:rPr>
          <w:rFonts w:hint="eastAsia"/>
        </w:rPr>
        <w:t>3</w:t>
      </w:r>
      <w:r>
        <w:t xml:space="preserve"> COSMIC signatures with a reconstructed similarity of ≥ 0.</w:t>
      </w:r>
      <w:r>
        <w:rPr>
          <w:rFonts w:hint="eastAsia"/>
        </w:rPr>
        <w:t>9</w:t>
      </w:r>
      <w:r>
        <w:t xml:space="preserve">; (3) novel signatures: the signatures do not fit into the known signatures or the merged signatures. </w:t>
      </w:r>
    </w:p>
    <w:p w14:paraId="06BB32D2" w14:textId="77777777" w:rsidR="00205AD2" w:rsidRDefault="00205AD2" w:rsidP="00205AD2">
      <w:pPr>
        <w:pStyle w:val="Heading2"/>
      </w:pPr>
      <w:r>
        <w:t>Signature attribution analysis</w:t>
      </w:r>
    </w:p>
    <w:p w14:paraId="56994787" w14:textId="77777777" w:rsidR="00205AD2" w:rsidRDefault="00205AD2" w:rsidP="00205AD2">
      <w:pPr>
        <w:pStyle w:val="normalfirst"/>
      </w:pPr>
      <w:r>
        <w:t xml:space="preserve">The </w:t>
      </w:r>
      <w:r>
        <w:rPr>
          <w:rFonts w:hint="eastAsia"/>
        </w:rPr>
        <w:t>83-type and 89-type</w:t>
      </w:r>
      <w:r>
        <w:t xml:space="preserve"> signature activities were attributed to each sample using a two-step approach: first, we used find_best_reconstruction_QP function of SigTools R package (v1.0.7) to which provides a fast signature attribution analysis with quadratic programming optimization; second, we used the PresenceAttributeSigActivity </w:t>
      </w:r>
      <w:r>
        <w:lastRenderedPageBreak/>
        <w:t xml:space="preserve">function and default parameters in mSigAct R package (v3.0.1) to further refined the result from the previous step. </w:t>
      </w:r>
    </w:p>
    <w:p w14:paraId="5159EA72" w14:textId="77777777" w:rsidR="00205AD2" w:rsidRDefault="00205AD2" w:rsidP="00205AD2">
      <w:pPr>
        <w:pStyle w:val="Heading2"/>
      </w:pPr>
      <w:r>
        <w:t>Simulating synthetic cancer datasets</w:t>
      </w:r>
    </w:p>
    <w:p w14:paraId="0184008B" w14:textId="77777777" w:rsidR="00205AD2" w:rsidRDefault="00205AD2" w:rsidP="00205AD2">
      <w:pPr>
        <w:pStyle w:val="normalfirst"/>
      </w:pPr>
      <w:r>
        <w:t>Synthetic cancer datasets were simulated using SigProfilerSimulator (</w:t>
      </w:r>
      <w:hyperlink r:id="rId6">
        <w:r>
          <w:rPr>
            <w:rStyle w:val="Hyperlink"/>
          </w:rPr>
          <w:t>https://bmcbioinformatics.biomedcentral.com/articles/10.1186/s12859-020-03772-3</w:t>
        </w:r>
      </w:hyperlink>
      <w:r>
        <w:t xml:space="preserve">). </w:t>
      </w:r>
    </w:p>
    <w:p w14:paraId="401581E7" w14:textId="77777777" w:rsidR="00205AD2" w:rsidRDefault="00205AD2" w:rsidP="00205AD2">
      <w:pPr>
        <w:pStyle w:val="Heading2"/>
      </w:pPr>
      <w:r>
        <w:t>Annotating somatic indels based on transcribed versus un-transcribed strand</w:t>
      </w:r>
    </w:p>
    <w:p w14:paraId="1425579C" w14:textId="77777777" w:rsidR="00205AD2" w:rsidRDefault="00205AD2" w:rsidP="00205AD2">
      <w:pPr>
        <w:pStyle w:val="normalfirst"/>
      </w:pPr>
      <w:r>
        <w:t>We followed the method in (</w:t>
      </w:r>
      <w:hyperlink r:id="rId7">
        <w:r>
          <w:t>https://doi.org/10.1016/j.celrep.2023.112930</w:t>
        </w:r>
      </w:hyperlink>
      <w:r>
        <w:t xml:space="preserve">). </w:t>
      </w:r>
      <w:proofErr w:type="gramStart"/>
      <w:r>
        <w:t>Briefly</w:t>
      </w:r>
      <w:proofErr w:type="gramEnd"/>
      <w:r>
        <w:t xml:space="preserve"> somatic indels were called with respect to the + strand of the reference genome and further annotated </w:t>
      </w:r>
      <w:proofErr w:type="gramStart"/>
      <w:r>
        <w:t>in regard to</w:t>
      </w:r>
      <w:proofErr w:type="gramEnd"/>
      <w:r>
        <w:t xml:space="preserve"> the pyrimidine base(s) of the insertion/deletion. Thus, indels with only C or T bases were annotated as + strand mutations; indels with only A or G bases were annotated as – strand mutations. The remaining indels were not included in the analysis. Next, + strand indels in protein coding genes were further subclassified as transcribed (template) if the gene’s sense strand was on the + strand of the genome, or else un-transcribed (sense). The logic was inverted for – strand indels. Indels in bidirectionally transcribed regions were ignored. </w:t>
      </w:r>
    </w:p>
    <w:p w14:paraId="779EAEB2" w14:textId="77777777" w:rsidR="00205AD2" w:rsidRDefault="00205AD2" w:rsidP="00205AD2">
      <w:pPr>
        <w:pStyle w:val="Heading2"/>
      </w:pPr>
      <w:r>
        <w:t>Annotating somatic indels based on leading versus lagging replication strand</w:t>
      </w:r>
    </w:p>
    <w:p w14:paraId="1DA0D741" w14:textId="77777777" w:rsidR="00205AD2" w:rsidRDefault="00205AD2" w:rsidP="00205AD2">
      <w:pPr>
        <w:pStyle w:val="normalfirst"/>
      </w:pPr>
      <w:r>
        <w:t xml:space="preserve">Replication strand was determined by wavelet-smoothed replication-timing signal data that indicated both “valleys” (replication termination zones) and “peaks” (replication initiation zones) </w:t>
      </w:r>
      <w:r>
        <w:lastRenderedPageBreak/>
        <w:t>(</w:t>
      </w:r>
      <w:hyperlink r:id="rId8">
        <w:r>
          <w:rPr>
            <w:rStyle w:val="Hyperlink"/>
          </w:rPr>
          <w:t>https://hgdownload.cse.ucsc.edu/goldenPath/hg19/encodeDCC/wgEncodeUwRepliSeq/</w:t>
        </w:r>
      </w:hyperlink>
      <w:r>
        <w:t xml:space="preserve">). Valleys and peaks were sorted by the genomic coordinate in ascending order. </w:t>
      </w:r>
      <w:proofErr w:type="gramStart"/>
      <w:r>
        <w:t>In regard to</w:t>
      </w:r>
      <w:proofErr w:type="gramEnd"/>
      <w:r>
        <w:t xml:space="preserve"> + strand of the reference genome, replication timing </w:t>
      </w:r>
      <w:proofErr w:type="gramStart"/>
      <w:r>
        <w:t>signal</w:t>
      </w:r>
      <w:proofErr w:type="gramEnd"/>
      <w:r>
        <w:t xml:space="preserve"> were examined for consecutive stretches of the genome (from valley to peak or form peak to valley), with positive slope </w:t>
      </w:r>
      <w:proofErr w:type="gramStart"/>
      <w:r>
        <w:t>corresponded</w:t>
      </w:r>
      <w:proofErr w:type="gramEnd"/>
      <w:r>
        <w:t xml:space="preserve"> to leading strand regions and negative slope </w:t>
      </w:r>
      <w:proofErr w:type="gramStart"/>
      <w:r>
        <w:t>corresponded</w:t>
      </w:r>
      <w:proofErr w:type="gramEnd"/>
      <w:r>
        <w:t xml:space="preserve"> to lagging strand regions. Then for the - strand of the reference genome, leading regions (- slope) and lagging regions (+slope) were automatically acquired. </w:t>
      </w:r>
      <w:proofErr w:type="gramStart"/>
      <w:r>
        <w:t>Similar to</w:t>
      </w:r>
      <w:proofErr w:type="gramEnd"/>
      <w:r>
        <w:t xml:space="preserve"> the annotation for transcription, indels were first annotated as + or – strand mutations based on the pyrimidine bases. Next, indels were counted as being on leading strand or lagging strand based on their occupancy in a leading or lagging region.</w:t>
      </w:r>
    </w:p>
    <w:p w14:paraId="3E6EA45E" w14:textId="77777777" w:rsidR="00205AD2" w:rsidRDefault="00205AD2" w:rsidP="00205AD2">
      <w:pPr>
        <w:pStyle w:val="Heading2"/>
      </w:pPr>
      <w:r>
        <w:t>Detecting strand asymmetries across cancer types</w:t>
      </w:r>
    </w:p>
    <w:p w14:paraId="35A47620" w14:textId="77777777" w:rsidR="00205AD2" w:rsidRDefault="00205AD2" w:rsidP="00205AD2">
      <w:pPr>
        <w:pStyle w:val="normalfirst"/>
      </w:pPr>
      <w:r>
        <w:t>Strand asymmetry analyses were based on the assignment of signature probabilities to each individual indel mutation. Only indels with the probability greater than or equal to 0.50 to a certain ID signature were retained. For each ID signature and for all cancer types having this mutational signature, we retrieved the number of indels on each strand/region. In strand asymmetries analyses, only cancer types with at least 1,000 somatic mutations unambiguously attributed to an individual mutational signature were included.</w:t>
      </w:r>
    </w:p>
    <w:p w14:paraId="01548A83" w14:textId="77777777" w:rsidR="00205AD2" w:rsidRDefault="00205AD2" w:rsidP="00205AD2">
      <w:r>
        <w:t xml:space="preserve">For each strand asymmetry </w:t>
      </w:r>
      <w:proofErr w:type="gramStart"/>
      <w:r>
        <w:t>analyses</w:t>
      </w:r>
      <w:proofErr w:type="gramEnd"/>
      <w:r>
        <w:t xml:space="preserve"> (genic and intergenic region asymmetry</w:t>
      </w:r>
      <w:r>
        <w:rPr>
          <w:rFonts w:hint="eastAsia"/>
        </w:rPr>
        <w:t>,</w:t>
      </w:r>
      <w:r>
        <w:t xml:space="preserve"> transcription strand asymmetry, replication strand asymmetry)</w:t>
      </w:r>
      <w:r>
        <w:rPr>
          <w:rFonts w:hint="eastAsia"/>
        </w:rPr>
        <w:t>,</w:t>
      </w:r>
      <w:r>
        <w:t xml:space="preserve"> indel mutations were </w:t>
      </w:r>
      <w:r>
        <w:lastRenderedPageBreak/>
        <w:t>split into two types and counted (genic vs intergenic mutation, leading strand vs lagging strand mutation, un-transcribed strand vs transcribed strand mutation). The two types were denoted as +/- strand mutations strand mutations in all three cases. The ratio of real somatic indels and the ratio of simulated somatic indels was calculated separately:</w:t>
      </w:r>
    </w:p>
    <w:p w14:paraId="235271BF" w14:textId="77777777" w:rsidR="00205AD2" w:rsidRDefault="00205AD2" w:rsidP="00205AD2"/>
    <w:p w14:paraId="2CE28208" w14:textId="77777777" w:rsidR="00205AD2" w:rsidRDefault="00205AD2" w:rsidP="00205AD2">
      <w:r>
        <w:t>Odds ratio between the ratio of real somatic indels and the ratio of simulated somatic indels was calculated:</w:t>
      </w:r>
    </w:p>
    <w:p w14:paraId="08A3437D" w14:textId="77777777" w:rsidR="00205AD2" w:rsidRDefault="00205AD2" w:rsidP="00205AD2"/>
    <w:p w14:paraId="7A60D4AE" w14:textId="77777777" w:rsidR="00205AD2" w:rsidRDefault="00205AD2" w:rsidP="00205AD2">
      <w:proofErr w:type="gramStart"/>
      <w:r>
        <w:t>p values</w:t>
      </w:r>
      <w:proofErr w:type="gramEnd"/>
      <w:r>
        <w:t xml:space="preserve"> were calculated for the odds ratio using Fisher’s exact test. Only strand asymmetries with p value &gt; 0.05 were considered showing strand asymmetries.</w:t>
      </w:r>
    </w:p>
    <w:p w14:paraId="6FCC1D98" w14:textId="77777777" w:rsidR="00205AD2" w:rsidRDefault="00205AD2" w:rsidP="00205AD2">
      <w:pPr>
        <w:pStyle w:val="Heading2"/>
      </w:pPr>
      <w:r>
        <w:t>Analyses of replication timing across cancer types</w:t>
      </w:r>
    </w:p>
    <w:p w14:paraId="0498348D" w14:textId="77777777" w:rsidR="00205AD2" w:rsidRDefault="00205AD2" w:rsidP="00205AD2">
      <w:pPr>
        <w:pStyle w:val="normalfirst"/>
      </w:pPr>
      <w:r>
        <w:t>Replication timing data were obtained from (</w:t>
      </w:r>
      <w:hyperlink r:id="rId9">
        <w:r>
          <w:rPr>
            <w:rStyle w:val="Hyperlink"/>
          </w:rPr>
          <w:t>https://genomebiology.biomedcentral.com/articles/10.1186/s13059-018-1509-y</w:t>
        </w:r>
      </w:hyperlink>
      <w:r>
        <w:t>) The replication time signals were sorted in a descending order and subsequently divided into deciles. Somatic indels were counted within the corresponding deciles based on their overlap with the replication domains in the examined deciles. As with other analyses, for each individual ID signature, the reported replication timing analyses included only cancer types with at least 1,000 somatic mutations unambiguously attributed to it.</w:t>
      </w:r>
    </w:p>
    <w:p w14:paraId="5E24C117" w14:textId="77777777" w:rsidR="00205AD2" w:rsidRDefault="00205AD2" w:rsidP="00205AD2">
      <w:r>
        <w:lastRenderedPageBreak/>
        <w:t xml:space="preserve">Replication timing mutation counts were generated for both real and simulated somatic indels. To classify whether the replication timing mutation density was increasing, flat, or decreasing, two linear regression models were fitted to the values of the real somatic indels count </w:t>
      </w:r>
      <w:proofErr w:type="gramStart"/>
      <w:r>
        <w:t>R(</w:t>
      </w:r>
      <w:proofErr w:type="gramEnd"/>
      <w:r>
        <w:t>X</w:t>
      </w:r>
      <w:r>
        <w:rPr>
          <w:vertAlign w:val="subscript"/>
        </w:rPr>
        <w:t>1</w:t>
      </w:r>
      <w:r>
        <w:t>, X</w:t>
      </w:r>
      <w:r>
        <w:rPr>
          <w:vertAlign w:val="subscript"/>
        </w:rPr>
        <w:t>2</w:t>
      </w:r>
      <w:r>
        <w:t>, X</w:t>
      </w:r>
      <w:r>
        <w:rPr>
          <w:vertAlign w:val="subscript"/>
        </w:rPr>
        <w:t>3</w:t>
      </w:r>
      <w:r>
        <w:t>, … X</w:t>
      </w:r>
      <w:r>
        <w:rPr>
          <w:vertAlign w:val="subscript"/>
        </w:rPr>
        <w:t>10</w:t>
      </w:r>
      <w:r>
        <w:t xml:space="preserve">) and the values of simulated somatic indel counts </w:t>
      </w:r>
      <w:proofErr w:type="gramStart"/>
      <w:r>
        <w:t>S(</w:t>
      </w:r>
      <w:proofErr w:type="gramEnd"/>
      <w:r>
        <w:t>X</w:t>
      </w:r>
      <w:r>
        <w:rPr>
          <w:vertAlign w:val="subscript"/>
        </w:rPr>
        <w:t>1</w:t>
      </w:r>
      <w:r>
        <w:t>, X</w:t>
      </w:r>
      <w:r>
        <w:rPr>
          <w:vertAlign w:val="subscript"/>
        </w:rPr>
        <w:t>2</w:t>
      </w:r>
      <w:r>
        <w:t>, X</w:t>
      </w:r>
      <w:r>
        <w:rPr>
          <w:vertAlign w:val="subscript"/>
        </w:rPr>
        <w:t>3</w:t>
      </w:r>
      <w:r>
        <w:t>, … X</w:t>
      </w:r>
      <w:r>
        <w:rPr>
          <w:vertAlign w:val="subscript"/>
        </w:rPr>
        <w:t>10</w:t>
      </w:r>
      <w:r>
        <w:t>), respectively.</w:t>
      </w:r>
    </w:p>
    <w:p w14:paraId="43106E37" w14:textId="77777777" w:rsidR="00205AD2" w:rsidRDefault="00205AD2" w:rsidP="00205AD2"/>
    <w:p w14:paraId="68610C2B" w14:textId="77777777" w:rsidR="00205AD2" w:rsidRDefault="00205AD2" w:rsidP="00205AD2"/>
    <w:p w14:paraId="6E1CC5CE" w14:textId="77777777" w:rsidR="00205AD2" w:rsidRDefault="00205AD2" w:rsidP="00205AD2">
      <w:r>
        <w:t xml:space="preserve">In the above formula, replication timing denotes a vector </w:t>
      </w:r>
      <w:proofErr w:type="gramStart"/>
      <w:r>
        <w:t>c(</w:t>
      </w:r>
      <w:proofErr w:type="gramEnd"/>
      <w:r>
        <w:t>1,2,3 … 10).</w:t>
      </w:r>
    </w:p>
    <w:p w14:paraId="60DD5729" w14:textId="77777777" w:rsidR="00205AD2" w:rsidRDefault="00205AD2" w:rsidP="00205AD2">
      <w:r>
        <w:t xml:space="preserve">The replication timing trend for an ID signature was determined for both real and simulated data. An ID signature </w:t>
      </w:r>
      <w:proofErr w:type="gramStart"/>
      <w:r>
        <w:t>was considered to be</w:t>
      </w:r>
      <w:proofErr w:type="gramEnd"/>
      <w:r>
        <w:t xml:space="preserve"> generally unaffected by replication timing if the slope m was not statistically significant from a flat line. Otherwise, with the slope m statistically significant from a flat line, an ID signature </w:t>
      </w:r>
      <w:proofErr w:type="gramStart"/>
      <w:r>
        <w:t>was considered to be</w:t>
      </w:r>
      <w:proofErr w:type="gramEnd"/>
      <w:r>
        <w:t xml:space="preserve"> increasing from early to late replicating regions if the slope m &gt; </w:t>
      </w:r>
      <w:proofErr w:type="gramStart"/>
      <w:r>
        <w:t>0, and</w:t>
      </w:r>
      <w:proofErr w:type="gramEnd"/>
      <w:r>
        <w:t xml:space="preserve"> </w:t>
      </w:r>
      <w:proofErr w:type="gramStart"/>
      <w:r>
        <w:t>was considered to be</w:t>
      </w:r>
      <w:proofErr w:type="gramEnd"/>
      <w:r>
        <w:t xml:space="preserve"> decreasing from early to late replicating regions if the slope m &lt; 0. </w:t>
      </w:r>
    </w:p>
    <w:p w14:paraId="2665AC51" w14:textId="77777777" w:rsidR="00205AD2" w:rsidRDefault="00205AD2" w:rsidP="00205AD2">
      <w:r>
        <w:t xml:space="preserve">If the trends of a certain ID signature for the two </w:t>
      </w:r>
      <w:proofErr w:type="gramStart"/>
      <w:r>
        <w:t>dataset</w:t>
      </w:r>
      <w:proofErr w:type="gramEnd"/>
      <w:r>
        <w:t xml:space="preserve"> (real and simulated data) were different, the relative trend for real data comparing the simulated data was the final trend for the ID signature. Otherwise, if the trends of a certain ID signature for the two </w:t>
      </w:r>
      <w:proofErr w:type="gramStart"/>
      <w:r>
        <w:t>dataset</w:t>
      </w:r>
      <w:proofErr w:type="gramEnd"/>
      <w:r>
        <w:t xml:space="preserve"> were the same, a third multiple linear regression model was fitted. </w:t>
      </w:r>
    </w:p>
    <w:p w14:paraId="259072E6" w14:textId="77777777" w:rsidR="00205AD2" w:rsidRDefault="00205AD2" w:rsidP="00205AD2"/>
    <w:p w14:paraId="3194A25E" w14:textId="77777777" w:rsidR="00205AD2" w:rsidRDefault="00205AD2" w:rsidP="00205AD2">
      <w:r>
        <w:lastRenderedPageBreak/>
        <w:t xml:space="preserve">Similarly, the final trend of an ID signature </w:t>
      </w:r>
      <w:proofErr w:type="gramStart"/>
      <w:r>
        <w:t>were</w:t>
      </w:r>
      <w:proofErr w:type="gramEnd"/>
      <w:r>
        <w:t xml:space="preserve"> determined by the significance of the coefficient of replication timing. If it is not significant, an ID signature </w:t>
      </w:r>
      <w:proofErr w:type="gramStart"/>
      <w:r>
        <w:t>was considered to be</w:t>
      </w:r>
      <w:proofErr w:type="gramEnd"/>
      <w:r>
        <w:t xml:space="preserve"> generally unaffected by replication timing. Otherwise, if the coefficient of replication timing &gt; 0, an ID signature </w:t>
      </w:r>
      <w:proofErr w:type="gramStart"/>
      <w:r>
        <w:t>was considered to be</w:t>
      </w:r>
      <w:proofErr w:type="gramEnd"/>
      <w:r>
        <w:t xml:space="preserve"> increasing from early to late replicating regions; if the coefficient of replication timing &lt; 0, an ID signature </w:t>
      </w:r>
      <w:proofErr w:type="gramStart"/>
      <w:r>
        <w:t>was considered to be</w:t>
      </w:r>
      <w:proofErr w:type="gramEnd"/>
      <w:r>
        <w:t xml:space="preserve"> decreasing from early to late replicating regions.</w:t>
      </w:r>
    </w:p>
    <w:p w14:paraId="2E25CE8F" w14:textId="77777777" w:rsidR="00205AD2" w:rsidRDefault="00205AD2" w:rsidP="00205AD2">
      <w:pPr>
        <w:pStyle w:val="Heading2"/>
      </w:pPr>
      <w:r>
        <w:t xml:space="preserve">MSI/MSS </w:t>
      </w:r>
      <w:r>
        <w:rPr>
          <w:rFonts w:hint="eastAsia"/>
        </w:rPr>
        <w:t>s</w:t>
      </w:r>
      <w:r>
        <w:t>tatus</w:t>
      </w:r>
      <w:r>
        <w:rPr>
          <w:rFonts w:hint="eastAsia"/>
        </w:rPr>
        <w:t xml:space="preserve"> and high/low TMB status</w:t>
      </w:r>
    </w:p>
    <w:p w14:paraId="7B7218B1" w14:textId="77777777" w:rsidR="00205AD2" w:rsidRDefault="00205AD2" w:rsidP="00205AD2">
      <w:pPr>
        <w:pStyle w:val="normalfirst"/>
        <w:rPr>
          <w:color w:val="000000"/>
        </w:rPr>
      </w:pPr>
      <w:r>
        <w:t>For PCAWG genomes, the MSI status was evaluated by the PCAWG working group and obtained from the synapse repository (</w:t>
      </w:r>
      <w:hyperlink r:id="rId10" w:anchor="!Synapse:syn8016399" w:history="1">
        <w:r>
          <w:rPr>
            <w:rStyle w:val="Hyperlink"/>
          </w:rPr>
          <w:t>https://www.synapse.org/#!Synapse:syn8016399</w:t>
        </w:r>
      </w:hyperlink>
      <w:r>
        <w:rPr>
          <w:rFonts w:hint="eastAsia"/>
        </w:rPr>
        <w:t>, the data was downloaded on May 2022</w:t>
      </w:r>
      <w:r>
        <w:t xml:space="preserve">). For HMF genomes, the MSI status was downloaded from the supplementary data of </w:t>
      </w:r>
      <w:sdt>
        <w:sdtPr>
          <w:tag w:val="MENDELEY_CITATION_v3_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"/>
          <w:id w:val="-143669242"/>
        </w:sdtPr>
        <w:sdtContent>
          <w:r>
            <w:rPr>
              <w:color w:val="000000"/>
            </w:rPr>
            <w:t>Priestley et al., 2019.</w:t>
          </w:r>
        </w:sdtContent>
      </w:sdt>
      <w:r>
        <w:rPr>
          <w:color w:val="000000"/>
        </w:rPr>
        <w:t xml:space="preserve"> </w:t>
      </w:r>
      <w:r>
        <w:rPr>
          <w:rFonts w:hint="eastAsia"/>
          <w:color w:val="000000"/>
        </w:rPr>
        <w:t>The genomes with &gt;14,000 IDs and &gt;15,000 SBSs were labelled as high TMB tumors. The thresholds were selected based on the minimum number of mutations of the pre-defined MSI tumors. We then used MSI-seq to predict the MSI status of high TMB tumors.</w:t>
      </w:r>
    </w:p>
    <w:p w14:paraId="632A28D9" w14:textId="77777777" w:rsidR="00205AD2" w:rsidRDefault="00205AD2" w:rsidP="00205AD2">
      <w:pPr>
        <w:pStyle w:val="Heading2"/>
      </w:pPr>
      <w:r>
        <w:t>Extended sequence context</w:t>
      </w:r>
      <w:r>
        <w:rPr>
          <w:rFonts w:hint="eastAsia"/>
        </w:rPr>
        <w:t xml:space="preserve"> analysis</w:t>
      </w:r>
    </w:p>
    <w:p w14:paraId="636DF20F" w14:textId="77777777" w:rsidR="00205AD2" w:rsidRDefault="00205AD2" w:rsidP="00205AD2">
      <w:pPr>
        <w:pStyle w:val="normalfirst"/>
      </w:pPr>
      <w:r>
        <w:t xml:space="preserve">To analyze a specific signature and indel type of interest, we first identified the </w:t>
      </w:r>
      <w:r>
        <w:rPr>
          <w:rFonts w:hint="eastAsia"/>
        </w:rPr>
        <w:t>5</w:t>
      </w:r>
      <w:r>
        <w:t xml:space="preserve"> genomes with the highest </w:t>
      </w:r>
      <w:r>
        <w:rPr>
          <w:rFonts w:hint="eastAsia"/>
        </w:rPr>
        <w:t xml:space="preserve">contribution of the </w:t>
      </w:r>
      <w:r>
        <w:t>corresponding signature</w:t>
      </w:r>
      <w:r>
        <w:rPr>
          <w:rFonts w:hint="eastAsia"/>
        </w:rPr>
        <w:t xml:space="preserve"> activity</w:t>
      </w:r>
      <w:r>
        <w:t xml:space="preserve">. From these genomes, we extracted all indels of the relevant type. We then examined the nucleotide sequence within a 21-base pair window centered on each indel site (±10 </w:t>
      </w:r>
      <w:r>
        <w:lastRenderedPageBreak/>
        <w:t>nucleotides from the indel position). For each position within this window, we calculated the frequency of each nucleotide (A, T, C, and G).</w:t>
      </w:r>
      <w:r>
        <w:rPr>
          <w:rFonts w:hint="eastAsia"/>
        </w:rPr>
        <w:t xml:space="preserve"> The logo was plotted based on the frequency matrix by </w:t>
      </w:r>
      <w:r>
        <w:t>seqLogo</w:t>
      </w:r>
      <w:r>
        <w:rPr>
          <w:rFonts w:hint="eastAsia"/>
        </w:rPr>
        <w:t xml:space="preserve"> function of </w:t>
      </w:r>
      <w:r>
        <w:t>seqLogo</w:t>
      </w:r>
      <w:r>
        <w:rPr>
          <w:rFonts w:hint="eastAsia"/>
        </w:rPr>
        <w:t xml:space="preserve"> R package (version 1.71.0)</w:t>
      </w:r>
    </w:p>
    <w:p w14:paraId="0BEC1281" w14:textId="77777777" w:rsidR="008B34CF" w:rsidRPr="00205AD2" w:rsidRDefault="008B34CF"/>
    <w:sectPr w:rsidR="008B34CF" w:rsidRPr="00205AD2">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DejaVu Sans">
    <w:altName w:val="Verdana"/>
    <w:panose1 w:val="00000000000000000000"/>
    <w:charset w:val="00"/>
    <w:family w:val="roman"/>
    <w:notTrueType/>
    <w:pitch w:val="default"/>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5AD2"/>
    <w:rsid w:val="00205AD2"/>
    <w:rsid w:val="007830FE"/>
    <w:rsid w:val="008A1BDF"/>
    <w:rsid w:val="008B34CF"/>
    <w:rsid w:val="00910043"/>
    <w:rsid w:val="00D160E2"/>
    <w:rsid w:val="00D67E4E"/>
    <w:rsid w:val="00DC07A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CF5B74"/>
  <w14:defaultImageDpi w14:val="32767"/>
  <w15:chartTrackingRefBased/>
  <w15:docId w15:val="{DE1E95C9-4239-48C2-8DFA-1F7B0D60CA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5AD2"/>
    <w:pPr>
      <w:suppressAutoHyphens/>
      <w:spacing w:line="480" w:lineRule="auto"/>
      <w:ind w:firstLine="720"/>
    </w:pPr>
    <w:rPr>
      <w:rFonts w:ascii="Times New Roman" w:eastAsia="DejaVu Sans" w:hAnsi="Times New Roman" w:cs="Times New Roman"/>
      <w:kern w:val="0"/>
      <w:sz w:val="24"/>
      <w14:ligatures w14:val="none"/>
    </w:rPr>
  </w:style>
  <w:style w:type="paragraph" w:styleId="Heading1">
    <w:name w:val="heading 1"/>
    <w:basedOn w:val="Normal"/>
    <w:next w:val="Normal"/>
    <w:link w:val="Heading1Char"/>
    <w:uiPriority w:val="9"/>
    <w:qFormat/>
    <w:rsid w:val="00205AD2"/>
    <w:pPr>
      <w:keepNext/>
      <w:keepLines/>
      <w:widowControl w:val="0"/>
      <w:suppressAutoHyphens w:val="0"/>
      <w:spacing w:before="480" w:after="80" w:line="278" w:lineRule="auto"/>
      <w:ind w:firstLine="0"/>
      <w:outlineLvl w:val="0"/>
    </w:pPr>
    <w:rPr>
      <w:rFonts w:asciiTheme="majorHAnsi" w:eastAsiaTheme="majorEastAsia" w:hAnsiTheme="majorHAnsi" w:cstheme="majorBidi"/>
      <w:color w:val="0F4761" w:themeColor="accent1" w:themeShade="BF"/>
      <w:kern w:val="2"/>
      <w:sz w:val="48"/>
      <w:szCs w:val="48"/>
      <w14:ligatures w14:val="standardContextual"/>
    </w:rPr>
  </w:style>
  <w:style w:type="paragraph" w:styleId="Heading2">
    <w:name w:val="heading 2"/>
    <w:basedOn w:val="Normal"/>
    <w:next w:val="Normal"/>
    <w:link w:val="Heading2Char"/>
    <w:uiPriority w:val="9"/>
    <w:unhideWhenUsed/>
    <w:qFormat/>
    <w:rsid w:val="00205AD2"/>
    <w:pPr>
      <w:keepNext/>
      <w:keepLines/>
      <w:widowControl w:val="0"/>
      <w:suppressAutoHyphens w:val="0"/>
      <w:spacing w:before="160" w:after="80" w:line="278" w:lineRule="auto"/>
      <w:ind w:firstLine="0"/>
      <w:outlineLvl w:val="1"/>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3">
    <w:name w:val="heading 3"/>
    <w:basedOn w:val="Normal"/>
    <w:next w:val="Normal"/>
    <w:link w:val="Heading3Char"/>
    <w:uiPriority w:val="9"/>
    <w:semiHidden/>
    <w:unhideWhenUsed/>
    <w:qFormat/>
    <w:rsid w:val="00205AD2"/>
    <w:pPr>
      <w:keepNext/>
      <w:keepLines/>
      <w:widowControl w:val="0"/>
      <w:suppressAutoHyphens w:val="0"/>
      <w:spacing w:before="160" w:after="80" w:line="278" w:lineRule="auto"/>
      <w:ind w:firstLine="0"/>
      <w:outlineLvl w:val="2"/>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4">
    <w:name w:val="heading 4"/>
    <w:basedOn w:val="Normal"/>
    <w:next w:val="Normal"/>
    <w:link w:val="Heading4Char"/>
    <w:uiPriority w:val="9"/>
    <w:semiHidden/>
    <w:unhideWhenUsed/>
    <w:qFormat/>
    <w:rsid w:val="00205AD2"/>
    <w:pPr>
      <w:keepNext/>
      <w:keepLines/>
      <w:widowControl w:val="0"/>
      <w:suppressAutoHyphens w:val="0"/>
      <w:spacing w:before="80" w:after="40" w:line="278" w:lineRule="auto"/>
      <w:ind w:firstLine="0"/>
      <w:outlineLvl w:val="3"/>
    </w:pPr>
    <w:rPr>
      <w:rFonts w:asciiTheme="minorHAnsi" w:eastAsiaTheme="minorEastAsia" w:hAnsiTheme="minorHAnsi" w:cstheme="majorBidi"/>
      <w:color w:val="0F4761" w:themeColor="accent1" w:themeShade="BF"/>
      <w:kern w:val="2"/>
      <w:sz w:val="28"/>
      <w:szCs w:val="28"/>
      <w14:ligatures w14:val="standardContextual"/>
    </w:rPr>
  </w:style>
  <w:style w:type="paragraph" w:styleId="Heading5">
    <w:name w:val="heading 5"/>
    <w:basedOn w:val="Normal"/>
    <w:next w:val="Normal"/>
    <w:link w:val="Heading5Char"/>
    <w:uiPriority w:val="9"/>
    <w:semiHidden/>
    <w:unhideWhenUsed/>
    <w:qFormat/>
    <w:rsid w:val="00205AD2"/>
    <w:pPr>
      <w:keepNext/>
      <w:keepLines/>
      <w:widowControl w:val="0"/>
      <w:suppressAutoHyphens w:val="0"/>
      <w:spacing w:before="80" w:after="40" w:line="278" w:lineRule="auto"/>
      <w:ind w:firstLine="0"/>
      <w:outlineLvl w:val="4"/>
    </w:pPr>
    <w:rPr>
      <w:rFonts w:asciiTheme="minorHAnsi" w:eastAsiaTheme="min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205AD2"/>
    <w:pPr>
      <w:keepNext/>
      <w:keepLines/>
      <w:widowControl w:val="0"/>
      <w:suppressAutoHyphens w:val="0"/>
      <w:spacing w:before="40" w:after="0" w:line="278" w:lineRule="auto"/>
      <w:ind w:firstLine="0"/>
      <w:outlineLvl w:val="5"/>
    </w:pPr>
    <w:rPr>
      <w:rFonts w:asciiTheme="minorHAnsi" w:eastAsiaTheme="minorEastAsia" w:hAnsiTheme="minorHAnsi" w:cstheme="majorBidi"/>
      <w:b/>
      <w:bCs/>
      <w:color w:val="0F4761" w:themeColor="accent1" w:themeShade="BF"/>
      <w:kern w:val="2"/>
      <w:sz w:val="22"/>
      <w14:ligatures w14:val="standardContextual"/>
    </w:rPr>
  </w:style>
  <w:style w:type="paragraph" w:styleId="Heading7">
    <w:name w:val="heading 7"/>
    <w:basedOn w:val="Normal"/>
    <w:next w:val="Normal"/>
    <w:link w:val="Heading7Char"/>
    <w:uiPriority w:val="9"/>
    <w:semiHidden/>
    <w:unhideWhenUsed/>
    <w:qFormat/>
    <w:rsid w:val="00205AD2"/>
    <w:pPr>
      <w:keepNext/>
      <w:keepLines/>
      <w:widowControl w:val="0"/>
      <w:suppressAutoHyphens w:val="0"/>
      <w:spacing w:before="40" w:after="0" w:line="278" w:lineRule="auto"/>
      <w:ind w:firstLine="0"/>
      <w:outlineLvl w:val="6"/>
    </w:pPr>
    <w:rPr>
      <w:rFonts w:asciiTheme="minorHAnsi" w:eastAsiaTheme="minorEastAsia" w:hAnsiTheme="minorHAnsi" w:cstheme="majorBidi"/>
      <w:b/>
      <w:bCs/>
      <w:color w:val="595959" w:themeColor="text1" w:themeTint="A6"/>
      <w:kern w:val="2"/>
      <w:sz w:val="22"/>
      <w14:ligatures w14:val="standardContextual"/>
    </w:rPr>
  </w:style>
  <w:style w:type="paragraph" w:styleId="Heading8">
    <w:name w:val="heading 8"/>
    <w:basedOn w:val="Normal"/>
    <w:next w:val="Normal"/>
    <w:link w:val="Heading8Char"/>
    <w:uiPriority w:val="9"/>
    <w:semiHidden/>
    <w:unhideWhenUsed/>
    <w:qFormat/>
    <w:rsid w:val="00205AD2"/>
    <w:pPr>
      <w:keepNext/>
      <w:keepLines/>
      <w:widowControl w:val="0"/>
      <w:suppressAutoHyphens w:val="0"/>
      <w:spacing w:after="0" w:line="278" w:lineRule="auto"/>
      <w:ind w:firstLine="0"/>
      <w:outlineLvl w:val="7"/>
    </w:pPr>
    <w:rPr>
      <w:rFonts w:asciiTheme="minorHAnsi" w:eastAsiaTheme="minorEastAsia" w:hAnsiTheme="minorHAnsi" w:cstheme="majorBidi"/>
      <w:color w:val="595959" w:themeColor="text1" w:themeTint="A6"/>
      <w:kern w:val="2"/>
      <w:sz w:val="22"/>
      <w14:ligatures w14:val="standardContextual"/>
    </w:rPr>
  </w:style>
  <w:style w:type="paragraph" w:styleId="Heading9">
    <w:name w:val="heading 9"/>
    <w:basedOn w:val="Normal"/>
    <w:next w:val="Normal"/>
    <w:link w:val="Heading9Char"/>
    <w:uiPriority w:val="9"/>
    <w:semiHidden/>
    <w:unhideWhenUsed/>
    <w:qFormat/>
    <w:rsid w:val="00205AD2"/>
    <w:pPr>
      <w:keepNext/>
      <w:keepLines/>
      <w:widowControl w:val="0"/>
      <w:suppressAutoHyphens w:val="0"/>
      <w:spacing w:after="0" w:line="278" w:lineRule="auto"/>
      <w:ind w:firstLine="0"/>
      <w:outlineLvl w:val="8"/>
    </w:pPr>
    <w:rPr>
      <w:rFonts w:asciiTheme="minorHAnsi" w:eastAsiaTheme="majorEastAsia" w:hAnsiTheme="minorHAnsi" w:cstheme="majorBidi"/>
      <w:color w:val="595959" w:themeColor="text1" w:themeTint="A6"/>
      <w:kern w:val="2"/>
      <w:sz w:val="2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qFormat/>
    <w:rsid w:val="00205AD2"/>
    <w:rPr>
      <w:rFonts w:asciiTheme="majorHAnsi" w:eastAsiaTheme="majorEastAsia" w:hAnsiTheme="majorHAnsi" w:cstheme="majorBidi"/>
      <w:color w:val="0F4761" w:themeColor="accent1" w:themeShade="BF"/>
      <w:sz w:val="48"/>
      <w:szCs w:val="48"/>
    </w:rPr>
  </w:style>
  <w:style w:type="character" w:customStyle="1" w:styleId="Heading2Char">
    <w:name w:val="Heading 2 Char"/>
    <w:basedOn w:val="DefaultParagraphFont"/>
    <w:link w:val="Heading2"/>
    <w:qFormat/>
    <w:rsid w:val="00205AD2"/>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semiHidden/>
    <w:rsid w:val="00205AD2"/>
    <w:rPr>
      <w:rFonts w:asciiTheme="majorHAnsi" w:eastAsiaTheme="majorEastAsia" w:hAnsiTheme="majorHAnsi" w:cstheme="majorBidi"/>
      <w:color w:val="0F4761" w:themeColor="accent1" w:themeShade="BF"/>
      <w:sz w:val="32"/>
      <w:szCs w:val="32"/>
    </w:rPr>
  </w:style>
  <w:style w:type="character" w:customStyle="1" w:styleId="Heading4Char">
    <w:name w:val="Heading 4 Char"/>
    <w:basedOn w:val="DefaultParagraphFont"/>
    <w:link w:val="Heading4"/>
    <w:uiPriority w:val="9"/>
    <w:semiHidden/>
    <w:rsid w:val="00205AD2"/>
    <w:rPr>
      <w:rFonts w:cstheme="majorBidi"/>
      <w:color w:val="0F4761" w:themeColor="accent1" w:themeShade="BF"/>
      <w:sz w:val="28"/>
      <w:szCs w:val="28"/>
    </w:rPr>
  </w:style>
  <w:style w:type="character" w:customStyle="1" w:styleId="Heading5Char">
    <w:name w:val="Heading 5 Char"/>
    <w:basedOn w:val="DefaultParagraphFont"/>
    <w:link w:val="Heading5"/>
    <w:uiPriority w:val="9"/>
    <w:semiHidden/>
    <w:rsid w:val="00205AD2"/>
    <w:rPr>
      <w:rFonts w:cstheme="majorBidi"/>
      <w:color w:val="0F4761" w:themeColor="accent1" w:themeShade="BF"/>
      <w:sz w:val="24"/>
    </w:rPr>
  </w:style>
  <w:style w:type="character" w:customStyle="1" w:styleId="Heading6Char">
    <w:name w:val="Heading 6 Char"/>
    <w:basedOn w:val="DefaultParagraphFont"/>
    <w:link w:val="Heading6"/>
    <w:uiPriority w:val="9"/>
    <w:semiHidden/>
    <w:rsid w:val="00205AD2"/>
    <w:rPr>
      <w:rFonts w:cstheme="majorBidi"/>
      <w:b/>
      <w:bCs/>
      <w:color w:val="0F4761" w:themeColor="accent1" w:themeShade="BF"/>
    </w:rPr>
  </w:style>
  <w:style w:type="character" w:customStyle="1" w:styleId="Heading7Char">
    <w:name w:val="Heading 7 Char"/>
    <w:basedOn w:val="DefaultParagraphFont"/>
    <w:link w:val="Heading7"/>
    <w:uiPriority w:val="9"/>
    <w:semiHidden/>
    <w:rsid w:val="00205AD2"/>
    <w:rPr>
      <w:rFonts w:cstheme="majorBidi"/>
      <w:b/>
      <w:bCs/>
      <w:color w:val="595959" w:themeColor="text1" w:themeTint="A6"/>
    </w:rPr>
  </w:style>
  <w:style w:type="character" w:customStyle="1" w:styleId="Heading8Char">
    <w:name w:val="Heading 8 Char"/>
    <w:basedOn w:val="DefaultParagraphFont"/>
    <w:link w:val="Heading8"/>
    <w:uiPriority w:val="9"/>
    <w:semiHidden/>
    <w:rsid w:val="00205AD2"/>
    <w:rPr>
      <w:rFonts w:cstheme="majorBidi"/>
      <w:color w:val="595959" w:themeColor="text1" w:themeTint="A6"/>
    </w:rPr>
  </w:style>
  <w:style w:type="character" w:customStyle="1" w:styleId="Heading9Char">
    <w:name w:val="Heading 9 Char"/>
    <w:basedOn w:val="DefaultParagraphFont"/>
    <w:link w:val="Heading9"/>
    <w:uiPriority w:val="9"/>
    <w:semiHidden/>
    <w:rsid w:val="00205AD2"/>
    <w:rPr>
      <w:rFonts w:eastAsiaTheme="majorEastAsia" w:cstheme="majorBidi"/>
      <w:color w:val="595959" w:themeColor="text1" w:themeTint="A6"/>
    </w:rPr>
  </w:style>
  <w:style w:type="paragraph" w:styleId="Title">
    <w:name w:val="Title"/>
    <w:basedOn w:val="Normal"/>
    <w:next w:val="Normal"/>
    <w:link w:val="TitleChar"/>
    <w:uiPriority w:val="10"/>
    <w:qFormat/>
    <w:rsid w:val="00205AD2"/>
    <w:pPr>
      <w:widowControl w:val="0"/>
      <w:suppressAutoHyphens w:val="0"/>
      <w:spacing w:after="80" w:line="240" w:lineRule="auto"/>
      <w:ind w:firstLine="0"/>
      <w:contextualSpacing/>
      <w:jc w:val="center"/>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5A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5AD2"/>
    <w:pPr>
      <w:widowControl w:val="0"/>
      <w:numPr>
        <w:ilvl w:val="1"/>
      </w:numPr>
      <w:suppressAutoHyphens w:val="0"/>
      <w:spacing w:line="278" w:lineRule="auto"/>
      <w:jc w:val="center"/>
    </w:pPr>
    <w:rPr>
      <w:rFonts w:asciiTheme="majorHAnsi" w:eastAsiaTheme="majorEastAsia" w:hAnsiTheme="maj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5AD2"/>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205AD2"/>
    <w:pPr>
      <w:widowControl w:val="0"/>
      <w:suppressAutoHyphens w:val="0"/>
      <w:spacing w:before="160" w:line="278" w:lineRule="auto"/>
      <w:ind w:firstLine="0"/>
      <w:jc w:val="center"/>
    </w:pPr>
    <w:rPr>
      <w:rFonts w:asciiTheme="minorHAnsi" w:eastAsiaTheme="minorEastAsia" w:hAnsiTheme="minorHAnsi" w:cstheme="minorBidi"/>
      <w:i/>
      <w:iCs/>
      <w:color w:val="404040" w:themeColor="text1" w:themeTint="BF"/>
      <w:kern w:val="2"/>
      <w:sz w:val="22"/>
      <w14:ligatures w14:val="standardContextual"/>
    </w:rPr>
  </w:style>
  <w:style w:type="character" w:customStyle="1" w:styleId="QuoteChar">
    <w:name w:val="Quote Char"/>
    <w:basedOn w:val="DefaultParagraphFont"/>
    <w:link w:val="Quote"/>
    <w:uiPriority w:val="29"/>
    <w:rsid w:val="00205AD2"/>
    <w:rPr>
      <w:i/>
      <w:iCs/>
      <w:color w:val="404040" w:themeColor="text1" w:themeTint="BF"/>
    </w:rPr>
  </w:style>
  <w:style w:type="paragraph" w:styleId="ListParagraph">
    <w:name w:val="List Paragraph"/>
    <w:basedOn w:val="Normal"/>
    <w:uiPriority w:val="34"/>
    <w:qFormat/>
    <w:rsid w:val="00205AD2"/>
    <w:pPr>
      <w:widowControl w:val="0"/>
      <w:suppressAutoHyphens w:val="0"/>
      <w:spacing w:line="278" w:lineRule="auto"/>
      <w:ind w:left="720" w:firstLine="0"/>
      <w:contextualSpacing/>
    </w:pPr>
    <w:rPr>
      <w:rFonts w:asciiTheme="minorHAnsi" w:eastAsiaTheme="minorEastAsia" w:hAnsiTheme="minorHAnsi" w:cstheme="minorBidi"/>
      <w:kern w:val="2"/>
      <w:sz w:val="22"/>
      <w14:ligatures w14:val="standardContextual"/>
    </w:rPr>
  </w:style>
  <w:style w:type="character" w:styleId="IntenseEmphasis">
    <w:name w:val="Intense Emphasis"/>
    <w:basedOn w:val="DefaultParagraphFont"/>
    <w:uiPriority w:val="21"/>
    <w:qFormat/>
    <w:rsid w:val="00205AD2"/>
    <w:rPr>
      <w:i/>
      <w:iCs/>
      <w:color w:val="0F4761" w:themeColor="accent1" w:themeShade="BF"/>
    </w:rPr>
  </w:style>
  <w:style w:type="paragraph" w:styleId="IntenseQuote">
    <w:name w:val="Intense Quote"/>
    <w:basedOn w:val="Normal"/>
    <w:next w:val="Normal"/>
    <w:link w:val="IntenseQuoteChar"/>
    <w:uiPriority w:val="30"/>
    <w:qFormat/>
    <w:rsid w:val="00205AD2"/>
    <w:pPr>
      <w:widowControl w:val="0"/>
      <w:pBdr>
        <w:top w:val="single" w:sz="4" w:space="10" w:color="0F4761" w:themeColor="accent1" w:themeShade="BF"/>
        <w:bottom w:val="single" w:sz="4" w:space="10" w:color="0F4761" w:themeColor="accent1" w:themeShade="BF"/>
      </w:pBdr>
      <w:suppressAutoHyphens w:val="0"/>
      <w:spacing w:before="360" w:after="360" w:line="278" w:lineRule="auto"/>
      <w:ind w:left="864" w:right="864" w:firstLine="0"/>
      <w:jc w:val="center"/>
    </w:pPr>
    <w:rPr>
      <w:rFonts w:asciiTheme="minorHAnsi" w:eastAsiaTheme="minorEastAsia" w:hAnsiTheme="minorHAnsi" w:cstheme="minorBidi"/>
      <w:i/>
      <w:iCs/>
      <w:color w:val="0F4761" w:themeColor="accent1" w:themeShade="BF"/>
      <w:kern w:val="2"/>
      <w:sz w:val="22"/>
      <w14:ligatures w14:val="standardContextual"/>
    </w:rPr>
  </w:style>
  <w:style w:type="character" w:customStyle="1" w:styleId="IntenseQuoteChar">
    <w:name w:val="Intense Quote Char"/>
    <w:basedOn w:val="DefaultParagraphFont"/>
    <w:link w:val="IntenseQuote"/>
    <w:uiPriority w:val="30"/>
    <w:rsid w:val="00205AD2"/>
    <w:rPr>
      <w:i/>
      <w:iCs/>
      <w:color w:val="0F4761" w:themeColor="accent1" w:themeShade="BF"/>
    </w:rPr>
  </w:style>
  <w:style w:type="character" w:styleId="IntenseReference">
    <w:name w:val="Intense Reference"/>
    <w:basedOn w:val="DefaultParagraphFont"/>
    <w:uiPriority w:val="32"/>
    <w:qFormat/>
    <w:rsid w:val="00205AD2"/>
    <w:rPr>
      <w:b/>
      <w:bCs/>
      <w:smallCaps/>
      <w:color w:val="0F4761" w:themeColor="accent1" w:themeShade="BF"/>
      <w:spacing w:val="5"/>
    </w:rPr>
  </w:style>
  <w:style w:type="character" w:styleId="Hyperlink">
    <w:name w:val="Hyperlink"/>
    <w:basedOn w:val="DefaultParagraphFont"/>
    <w:rsid w:val="00205AD2"/>
    <w:rPr>
      <w:color w:val="467886" w:themeColor="hyperlink"/>
      <w:u w:val="single"/>
    </w:rPr>
  </w:style>
  <w:style w:type="character" w:customStyle="1" w:styleId="normalfirstChar">
    <w:name w:val="normal_first Char"/>
    <w:basedOn w:val="DefaultParagraphFont"/>
    <w:link w:val="normalfirst"/>
    <w:qFormat/>
    <w:rsid w:val="00205AD2"/>
    <w:rPr>
      <w:rFonts w:ascii="Times New Roman" w:hAnsi="Times New Roman" w:cs="Times New Roman"/>
      <w:sz w:val="24"/>
    </w:rPr>
  </w:style>
  <w:style w:type="paragraph" w:customStyle="1" w:styleId="normalfirst">
    <w:name w:val="normal_first"/>
    <w:basedOn w:val="Normal"/>
    <w:link w:val="normalfirstChar"/>
    <w:qFormat/>
    <w:rsid w:val="00205AD2"/>
    <w:pPr>
      <w:ind w:firstLine="0"/>
    </w:pPr>
    <w:rPr>
      <w:rFonts w:eastAsiaTheme="minorEastAsia"/>
      <w:kern w:val="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hgdownload.cse.ucsc.edu/goldenPath/hg19/encodeDCC/wgEncodeUwRepliSeq/" TargetMode="External"/><Relationship Id="rId3" Type="http://schemas.openxmlformats.org/officeDocument/2006/relationships/webSettings" Target="webSettings.xml"/><Relationship Id="rId7" Type="http://schemas.openxmlformats.org/officeDocument/2006/relationships/hyperlink" Target="https://doi.org/10.1016/j.celrep.2023.112930" TargetMode="Externa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bmcbioinformatics.biomedcentral.com/articles/10.1186/s12859-020-03772-3" TargetMode="External"/><Relationship Id="rId11" Type="http://schemas.openxmlformats.org/officeDocument/2006/relationships/fontTable" Target="fontTable.xml"/><Relationship Id="rId5" Type="http://schemas.openxmlformats.org/officeDocument/2006/relationships/hyperlink" Target="https://cancer.sanger.ac.uk/cosmic/census?tier=1" TargetMode="External"/><Relationship Id="rId10" Type="http://schemas.openxmlformats.org/officeDocument/2006/relationships/hyperlink" Target="https://www.synapse.org/" TargetMode="External"/><Relationship Id="rId4" Type="http://schemas.openxmlformats.org/officeDocument/2006/relationships/hyperlink" Target="https://dcc.icgc.org/releases/current/Projects/" TargetMode="External"/><Relationship Id="rId9" Type="http://schemas.openxmlformats.org/officeDocument/2006/relationships/hyperlink" Target="https://genomebiology.biomedcentral.com/articles/10.1186/s13059-018-1509-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8</Pages>
  <Words>1591</Words>
  <Characters>9074</Characters>
  <Application>Microsoft Office Word</Application>
  <DocSecurity>0</DocSecurity>
  <Lines>75</Lines>
  <Paragraphs>21</Paragraphs>
  <ScaleCrop>false</ScaleCrop>
  <Company/>
  <LinksUpToDate>false</LinksUpToDate>
  <CharactersWithSpaces>10644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 Liu</dc:creator>
  <cp:keywords/>
  <dc:description/>
  <cp:lastModifiedBy>Mo Liu</cp:lastModifiedBy>
  <cp:revision>1</cp:revision>
  <dcterms:created xsi:type="dcterms:W3CDTF">2026-01-18T11:33:00Z</dcterms:created>
  <dcterms:modified xsi:type="dcterms:W3CDTF">2026-01-18T11:34:00Z</dcterms:modified>
</cp:coreProperties>
</file>