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4AA84" w14:textId="77777777" w:rsidR="00B37B05" w:rsidRDefault="00000000">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362E76D3" w14:textId="77777777" w:rsidR="00B37B05" w:rsidRDefault="00000000">
      <w:pPr>
        <w:pStyle w:val="authorsandaff"/>
        <w:spacing w:after="240"/>
      </w:pPr>
      <w:r>
        <w:t>Mo Liu</w:t>
      </w:r>
      <w:r>
        <w:rPr>
          <w:rFonts w:hint="eastAsia"/>
        </w:rPr>
        <w:t>1*#</w:t>
      </w:r>
      <w:r>
        <w:t>,</w:t>
      </w:r>
      <w:r>
        <w:rPr>
          <w:rFonts w:hint="eastAsia"/>
        </w:rPr>
        <w:t xml:space="preserve"> Mi Ni Huang2*,</w:t>
      </w:r>
      <w:r>
        <w:t xml:space="preserve"> Xue Ming Wu1, Qi Zheng</w:t>
      </w:r>
      <w:r>
        <w:rPr>
          <w:rFonts w:hint="eastAsia"/>
        </w:rPr>
        <w:t xml:space="preserve">1, </w:t>
      </w:r>
      <w:r>
        <w:t>Runtian Yao</w:t>
      </w:r>
      <w:r>
        <w:rPr>
          <w:rFonts w:hint="eastAsia"/>
        </w:rPr>
        <w:t>2</w:t>
      </w:r>
      <w:r>
        <w:t xml:space="preserve">, </w:t>
      </w:r>
      <w:r>
        <w:rPr>
          <w:rFonts w:hint="eastAsia"/>
        </w:rPr>
        <w:t xml:space="preserve">Ying Yang1, Runxi Shen3, </w:t>
      </w:r>
      <w:r>
        <w:t>Steven G. Rozen4</w:t>
      </w:r>
      <w:r>
        <w:rPr>
          <w:rFonts w:hint="eastAsia"/>
        </w:rPr>
        <w:t>#</w:t>
      </w:r>
    </w:p>
    <w:p w14:paraId="2F915392" w14:textId="77777777" w:rsidR="00B37B05" w:rsidRDefault="00000000">
      <w:pPr>
        <w:pStyle w:val="authorsandaff"/>
      </w:pPr>
      <w:r>
        <w:t xml:space="preserve">1 Sino-French Hoffmann Institute, School of Basic Medical Sciences, </w:t>
      </w:r>
      <w:r>
        <w:rPr>
          <w:rFonts w:eastAsia="宋体" w:hint="eastAsia"/>
        </w:rPr>
        <w:t xml:space="preserve">The First Affiliated Hospital, Guangzhou </w:t>
      </w:r>
      <w:r>
        <w:t>Medical University, Guangzhou, Guangdong 511436, China</w:t>
      </w:r>
    </w:p>
    <w:p w14:paraId="753FD67C" w14:textId="77777777" w:rsidR="00B37B05" w:rsidRDefault="00000000">
      <w:pPr>
        <w:pStyle w:val="authorsandaff"/>
      </w:pPr>
      <w:r>
        <w:rPr>
          <w:rFonts w:hint="eastAsia"/>
        </w:rPr>
        <w:t xml:space="preserve">2 </w:t>
      </w:r>
      <w:r>
        <w:t>Molecular Cancer Research Center, School of Medicine, Shenzhen Campus of Sun Yat-</w:t>
      </w:r>
      <w:r>
        <w:rPr>
          <w:rFonts w:hint="eastAsia"/>
        </w:rPr>
        <w:t>S</w:t>
      </w:r>
      <w:r>
        <w:t>en University, Sun Yat-sen University, Shenzhen, 518107, China</w:t>
      </w:r>
    </w:p>
    <w:p w14:paraId="2D145A12" w14:textId="77777777" w:rsidR="00B37B05" w:rsidRDefault="00000000">
      <w:pPr>
        <w:pStyle w:val="authorsandaff"/>
      </w:pPr>
      <w:r>
        <w:rPr>
          <w:rFonts w:hint="eastAsia"/>
        </w:rPr>
        <w:t xml:space="preserve">3 </w:t>
      </w:r>
      <w:r>
        <w:t>Imaging Platform, Broad Institute of Harvard and MIT, Cambridge, Massachusetts, United States</w:t>
      </w:r>
    </w:p>
    <w:p w14:paraId="00D0244F" w14:textId="77777777" w:rsidR="00B37B05" w:rsidRDefault="00000000">
      <w:pPr>
        <w:pStyle w:val="authorsandaff"/>
      </w:pPr>
      <w:r>
        <w:rPr>
          <w:rFonts w:hint="eastAsia"/>
        </w:rPr>
        <w:t>4</w:t>
      </w:r>
      <w:r>
        <w:t xml:space="preserve"> Department of Biostatistics and Bioinformatics, Duke University School of Medicine, Durham, North Carolina, 27710, United States</w:t>
      </w:r>
    </w:p>
    <w:p w14:paraId="4C0D8DEA" w14:textId="77777777" w:rsidR="00B37B05" w:rsidRDefault="00000000">
      <w:pPr>
        <w:pStyle w:val="authorsandaff"/>
      </w:pPr>
      <w:r>
        <w:t xml:space="preserve"># Corresponding authors: E-mails: </w:t>
      </w:r>
      <w:hyperlink r:id="rId7">
        <w:r>
          <w:rPr>
            <w:rFonts w:hint="eastAsia"/>
          </w:rPr>
          <w:t>mo.liu@gzhmu.edu.cn</w:t>
        </w:r>
      </w:hyperlink>
      <w:r>
        <w:rPr>
          <w:rFonts w:hint="eastAsia"/>
        </w:rPr>
        <w:t>, steverozen@pm.me</w:t>
      </w:r>
    </w:p>
    <w:p w14:paraId="3F0A3216" w14:textId="77777777" w:rsidR="00B37B05" w:rsidRDefault="00B37B05"/>
    <w:p w14:paraId="05304066" w14:textId="77777777" w:rsidR="00B37B05" w:rsidRDefault="00B37B05"/>
    <w:p w14:paraId="27234AB2" w14:textId="479FA334" w:rsidR="00B37B05" w:rsidRPr="00BE114E" w:rsidRDefault="00000000">
      <w:pPr>
        <w:rPr>
          <w:rFonts w:eastAsia="宋体" w:hint="eastAsia"/>
          <w:sz w:val="20"/>
          <w:szCs w:val="20"/>
        </w:rPr>
      </w:pPr>
      <w:r>
        <w:rPr>
          <w:sz w:val="20"/>
          <w:szCs w:val="20"/>
        </w:rPr>
        <w:t>Notes: 7 display items allowed</w:t>
      </w:r>
      <w:r w:rsidR="00BE114E">
        <w:rPr>
          <w:rFonts w:eastAsia="宋体" w:hint="eastAsia"/>
          <w:sz w:val="20"/>
          <w:szCs w:val="20"/>
        </w:rPr>
        <w:t xml:space="preserve"> (We will have 1 table and 6 main figures)</w:t>
      </w:r>
    </w:p>
    <w:p w14:paraId="0FF546A4" w14:textId="77777777" w:rsidR="00B37B05" w:rsidRDefault="00000000">
      <w:pPr>
        <w:pStyle w:val="BodyText"/>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14:paraId="4FA3A8FD" w14:textId="77777777" w:rsidR="00B37B05" w:rsidRDefault="00000000">
      <w:pPr>
        <w:pStyle w:val="BodyText"/>
        <w:numPr>
          <w:ilvl w:val="0"/>
          <w:numId w:val="3"/>
        </w:numPr>
        <w:tabs>
          <w:tab w:val="clear" w:pos="720"/>
          <w:tab w:val="left" w:pos="0"/>
        </w:tabs>
        <w:spacing w:after="0" w:line="480" w:lineRule="auto"/>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14:paraId="5496E094" w14:textId="77777777" w:rsidR="00B37B05" w:rsidRDefault="00000000">
      <w:pPr>
        <w:pStyle w:val="BodyText"/>
        <w:numPr>
          <w:ilvl w:val="0"/>
          <w:numId w:val="4"/>
        </w:numPr>
        <w:tabs>
          <w:tab w:val="clear" w:pos="720"/>
          <w:tab w:val="left" w:pos="0"/>
        </w:tabs>
        <w:spacing w:after="0" w:line="480" w:lineRule="auto"/>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8" w:tgtFrame="_blank">
        <w:r>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9">
        <w:r>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10">
        <w:r>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11">
        <w:r>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12">
        <w:r>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14:paraId="3B327278" w14:textId="77777777" w:rsidR="00B37B05" w:rsidRDefault="00000000">
      <w:pPr>
        <w:pStyle w:val="Heading1"/>
        <w:spacing w:before="0"/>
      </w:pPr>
      <w:r>
        <w:rPr>
          <w:rFonts w:hint="eastAsia"/>
        </w:rPr>
        <w:lastRenderedPageBreak/>
        <w:t>Summary</w:t>
      </w:r>
    </w:p>
    <w:p w14:paraId="195E443B" w14:textId="77777777" w:rsidR="00B37B05" w:rsidRDefault="00000000">
      <w:pPr>
        <w:pStyle w:val="Heading1"/>
        <w:spacing w:before="0"/>
        <w:rPr>
          <w:b w:val="0"/>
          <w:bCs w:val="0"/>
        </w:rPr>
      </w:pPr>
      <w:r>
        <w:rPr>
          <w:rFonts w:hint="eastAsia"/>
          <w:b w:val="0"/>
          <w:bCs w:val="0"/>
        </w:rPr>
        <w:t>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vcf files.</w:t>
      </w:r>
    </w:p>
    <w:p w14:paraId="506C4EB8" w14:textId="77777777" w:rsidR="00B37B05" w:rsidRDefault="00000000">
      <w:pPr>
        <w:pStyle w:val="Heading1"/>
        <w:spacing w:before="0"/>
      </w:pPr>
      <w:r>
        <w:rPr>
          <w:rFonts w:hint="eastAsia"/>
        </w:rPr>
        <w:t>150</w:t>
      </w:r>
      <w:r>
        <w:br w:type="page"/>
      </w:r>
    </w:p>
    <w:p w14:paraId="6614C707" w14:textId="77777777" w:rsidR="00B37B05" w:rsidRDefault="00000000">
      <w:pPr>
        <w:pStyle w:val="Heading1"/>
        <w:spacing w:before="0"/>
      </w:pPr>
      <w:r>
        <w:lastRenderedPageBreak/>
        <w:t>Introduction</w:t>
      </w:r>
    </w:p>
    <w:p w14:paraId="46243DBF" w14:textId="77777777" w:rsidR="00B37B05"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776198EE" w14:textId="77777777" w:rsidR="00B37B05"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M. N.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w:t>
      </w:r>
      <w:r>
        <w:lastRenderedPageBreak/>
        <w:t>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t>(Chen et al. 2024)</w:t>
      </w:r>
      <w:bookmarkEnd w:id="7"/>
      <w:r>
        <w:rPr>
          <w:rFonts w:hint="eastAsia"/>
        </w:rPr>
        <w:t>.</w:t>
      </w:r>
    </w:p>
    <w:p w14:paraId="7634ECC7" w14:textId="77777777" w:rsidR="00B37B05" w:rsidRDefault="00000000">
      <w: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t>(M. Huang et al. 2015; Davies et al. 2017; Koh et al. 2025)</w:t>
      </w:r>
      <w:bookmarkEnd w:id="8"/>
      <w:r>
        <w:t xml:space="preserve"> and a rare indel hypermutator phenotype due to a mutation in topoisomerase 2 alpha </w:t>
      </w:r>
      <w:bookmarkStart w:id="9" w:name="ZOTERO_BREF_D2iecPnvmjdB"/>
      <w:r>
        <w:t>(Boot et al. 2022)</w:t>
      </w:r>
      <w:bookmarkEnd w:id="9"/>
      <w:r>
        <w:rPr>
          <w:rStyle w:val="normalfirstChar"/>
        </w:rPr>
        <w:t xml:space="preserve">. </w:t>
      </w:r>
    </w:p>
    <w:p w14:paraId="676C741E" w14:textId="77777777" w:rsidR="00B37B05"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0" w:name="ZOTERO_BREF_2bTJlJjriYWb"/>
      <w:r>
        <w:t>(Koh et al. 2025)</w:t>
      </w:r>
      <w:bookmarkEnd w:id="10"/>
      <w:r>
        <w:t xml:space="preserve"> proposed two classification schemes, one with 89 types of indel and one with 476 types (Figure 1). </w:t>
      </w:r>
    </w:p>
    <w:p w14:paraId="46AF9D68" w14:textId="77777777" w:rsidR="00B37B05" w:rsidRDefault="00000000">
      <w: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t>(Rozen 2026)</w:t>
      </w:r>
      <w:bookmarkEnd w:id="11"/>
      <w: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w:t>
      </w:r>
      <w:r>
        <w:rPr>
          <w:rFonts w:hint="eastAsia"/>
        </w:rPr>
        <w:t xml:space="preserve"> </w:t>
      </w:r>
      <w:r>
        <w:rPr>
          <w:rFonts w:hint="eastAsia"/>
        </w:rPr>
        <w:t>≥</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w:t>
      </w:r>
      <w:r>
        <w:lastRenderedPageBreak/>
        <w:t>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w:t>
      </w:r>
      <w:r>
        <w:rPr>
          <w:rFonts w:hint="eastAsia"/>
        </w:rPr>
        <w:t>→</w:t>
      </w:r>
      <w:r>
        <w:rPr>
          <w:rFonts w:hint="eastAsia"/>
        </w:rPr>
        <w:t>A</w:t>
      </w:r>
      <w:r>
        <w:rPr>
          <w:b/>
          <w:bCs/>
        </w:rPr>
        <w:t>CA</w:t>
      </w:r>
      <w:r>
        <w:rPr>
          <w:rFonts w:hint="eastAsia"/>
        </w:rPr>
        <w:t>GG) exhibits a 2-b</w:t>
      </w:r>
      <w:r>
        <w:t>ase</w:t>
      </w:r>
      <w:r>
        <w:rPr>
          <w:rFonts w:hint="eastAsia"/>
        </w:rPr>
        <w:t xml:space="preserve"> microhomology (CA)</w:t>
      </w:r>
      <w:r>
        <w:t xml:space="preserve">. </w:t>
      </w:r>
    </w:p>
    <w:p w14:paraId="5A3677F2" w14:textId="77777777" w:rsidR="00B37B05" w:rsidRDefault="00000000">
      <w:r>
        <w:t xml:space="preserve">One of the new classification schemes is based on 476 types of indel and one is based on 89 types, which mainly consolidates similar mutation types in the 476-type classification into coarser-grained mutation types </w:t>
      </w:r>
      <w:bookmarkStart w:id="12" w:name="ZOTERO_BREF_6zFIi2vPZWZ4"/>
      <w:r>
        <w:t>(Koh et al. 2025)</w:t>
      </w:r>
      <w:bookmarkEnd w:id="12"/>
      <w:r>
        <w:t xml:space="preserve"> </w:t>
      </w:r>
      <w:r>
        <w:rPr>
          <w:shd w:val="clear" w:color="auto" w:fill="00FFFF"/>
        </w:rPr>
        <w:t>(Figure 1, Table S1 &lt;rosetta_stone&gt; )</w:t>
      </w:r>
      <w:r>
        <w:rPr>
          <w:color w:val="000000"/>
        </w:rPr>
        <w:t>.</w:t>
      </w:r>
      <w: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14:paraId="76A45E98" w14:textId="77777777" w:rsidR="00B37B05" w:rsidRDefault="00000000">
      <w:r>
        <w:t xml:space="preserve">For example, the 83-type classification distinguishes deletions of single Ts only by the number of T’s at the site of the deletion: 1, 2, 3, 4, 5, or &gt;= 6 Ts </w:t>
      </w:r>
      <w:r>
        <w:rPr>
          <w:shd w:val="clear" w:color="auto" w:fill="00FFFF"/>
        </w:rPr>
        <w:t>(Figure 1A)</w:t>
      </w:r>
      <w:r>
        <w:t xml:space="preserve">.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ATA→AA or ATTA&gt;ATA are distinguished from deletions of CTA→CA or CTTA→CTA, but the deletions CTA→CA and CTTTTA→CTTTA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ATA→AA, CTA→CA, and GTA→GA. The classifications of indels of 2 or more bases are less intuitive. </w:t>
      </w:r>
      <w:r>
        <w:rPr>
          <w:shd w:val="clear" w:color="auto" w:fill="00FFFF"/>
        </w:rPr>
        <w:t>Table S1 &lt;rosetta stone&gt;</w:t>
      </w:r>
      <w:r>
        <w:t xml:space="preserve"> provides a mapping from </w:t>
      </w:r>
      <w:r>
        <w:lastRenderedPageBreak/>
        <w:t xml:space="preserve">the 476-type classification to the 89 and 83-type classifications, as well as multiple examples of each category of deletion. </w:t>
      </w:r>
    </w:p>
    <w:p w14:paraId="1ACDEBB3" w14:textId="19B2AF1A" w:rsidR="00B37B05"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t>asymmetry</w:t>
      </w:r>
      <w:r>
        <w:rPr>
          <w:rFonts w:hint="eastAsia"/>
        </w:rPr>
        <w:t xml:space="preserve"> between leading and lagging </w:t>
      </w:r>
      <w:r>
        <w:t xml:space="preserve">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 </w:t>
      </w:r>
      <w:r>
        <w:rPr>
          <w:shd w:val="clear" w:color="auto" w:fill="00FFFF"/>
        </w:rPr>
        <w:t>(</w:t>
      </w:r>
      <w:hyperlink r:id="rId13">
        <w:r>
          <w:rPr>
            <w:rStyle w:val="Hyperlink"/>
            <w:shd w:val="clear" w:color="auto" w:fill="00FFFF"/>
          </w:rPr>
          <w:t>https://indelsignaturebrowser.shinyapps.io/indel-signature-browser/</w:t>
        </w:r>
      </w:hyperlink>
      <w:r>
        <w:rPr>
          <w:shd w:val="clear" w:color="auto" w:fill="00FFFF"/>
        </w:rPr>
        <w:t xml:space="preserve"> Shorten last part if possible)</w:t>
      </w:r>
      <w:r>
        <w:t>.</w:t>
      </w:r>
    </w:p>
    <w:p w14:paraId="68D7FCE1" w14:textId="77777777" w:rsidR="00B37B05" w:rsidRDefault="00000000">
      <w:pPr>
        <w:pStyle w:val="Heading1"/>
      </w:pPr>
      <w:r>
        <w:t>Results</w:t>
      </w:r>
    </w:p>
    <w:p w14:paraId="410D2F30" w14:textId="77777777" w:rsidR="00B37B05" w:rsidRDefault="00000000">
      <w:pPr>
        <w:pStyle w:val="Heading2"/>
      </w:pPr>
      <w:r>
        <w:t>Repertoire of indel signatures based on de novo signature discovery</w:t>
      </w:r>
    </w:p>
    <w:p w14:paraId="31D80A0C" w14:textId="06439D66" w:rsidR="00B37B05" w:rsidRDefault="00000000">
      <w:pPr>
        <w:pStyle w:val="normalfirst"/>
      </w:pPr>
      <w:r>
        <w:t xml:space="preserve">We identified indel signatures in all three classifications from a total of 6,975 cancer genomes encompassing 32 cancer types using a method based on hierarchical Dirichlet processes  </w:t>
      </w:r>
      <w:bookmarkStart w:id="13" w:name="ZOTERO_BREF_sXKgi2ptdMXh"/>
      <w:r>
        <w:t>(Liu et al. 2023)</w:t>
      </w:r>
      <w:bookmarkEnd w:id="13"/>
      <w:r>
        <w:t xml:space="preserve">, and a method based on non-negative matrix factorization </w:t>
      </w:r>
      <w:bookmarkStart w:id="14" w:name="ZOTERO_BREF_Ax2rB3g50il2"/>
      <w:r>
        <w:t>(Islam et al. 2022)</w:t>
      </w:r>
      <w:bookmarkEnd w:id="14"/>
      <w:r>
        <w:t xml:space="preserve">. The extracted signatures were broadly consistent between the two methods </w:t>
      </w:r>
      <w:r>
        <w:rPr>
          <w:shd w:val="clear" w:color="auto" w:fill="FFFF00"/>
        </w:rPr>
        <w:t>(Table 1, shiny app, make a reference for the zenodo site of the vignette; can we get a doi for the shiny app?</w:t>
      </w:r>
      <w:r w:rsidR="00BA50F7">
        <w:rPr>
          <w:rFonts w:eastAsia="宋体" w:hint="eastAsia"/>
          <w:shd w:val="clear" w:color="auto" w:fill="FFFF00"/>
        </w:rPr>
        <w:t xml:space="preserve">, </w:t>
      </w:r>
      <w:r w:rsidR="00BA50F7" w:rsidRPr="00BA50F7">
        <w:rPr>
          <w:rFonts w:eastAsia="宋体" w:hint="eastAsia"/>
          <w:highlight w:val="cyan"/>
          <w:shd w:val="clear" w:color="auto" w:fill="FFFF00"/>
        </w:rPr>
        <w:t>Table S2-S8</w:t>
      </w:r>
      <w:r>
        <w:rPr>
          <w:shd w:val="clear" w:color="auto" w:fill="FFFF00"/>
        </w:rPr>
        <w:t xml:space="preserve">), </w:t>
      </w:r>
      <w:r>
        <w:lastRenderedPageBreak/>
        <w:t>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t xml:space="preserve"> were discovered. Further evidence of their robustness derives from the identification of tumor spectra dominated by a single signature. For </w:t>
      </w:r>
      <w:r>
        <w:rPr>
          <w:shd w:val="clear" w:color="auto" w:fill="FFFF00"/>
        </w:rPr>
        <w:t>35</w:t>
      </w:r>
      <w:r>
        <w:t xml:space="preserve"> of the 44 signatures we identified tumor spectra with &gt; </w:t>
      </w:r>
      <w:r>
        <w:rPr>
          <w:shd w:val="clear" w:color="auto" w:fill="FFFF00"/>
        </w:rPr>
        <w:t>0.95</w:t>
      </w:r>
      <w:r>
        <w:t xml:space="preserve"> cosine similarity, and 39 of the signatures had tumor spectra with &gt; 0.90 similarity (Table 1). Of the 44 signatures identified in the 89-type classification, similar signatures were previously described for 18 </w:t>
      </w:r>
      <w:bookmarkStart w:id="15" w:name="ZOTERO_BREF_DLtC4TQmbVUR"/>
      <w:r>
        <w:t>(Koh et al. 2025)</w:t>
      </w:r>
      <w:bookmarkEnd w:id="15"/>
      <w:r>
        <w:t xml:space="preserve">. </w:t>
      </w:r>
    </w:p>
    <w:p w14:paraId="48063E62" w14:textId="77777777" w:rsidR="00B37B05" w:rsidRDefault="00000000">
      <w:pPr>
        <w:pStyle w:val="normalfirst"/>
        <w:ind w:firstLine="720"/>
      </w:pPr>
      <w: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6" w:name="ZOTERO_BREF_RenPiKIXIJyQ"/>
      <w:r>
        <w:t>(Jin et al. 2024b)</w:t>
      </w:r>
      <w:bookmarkEnd w:id="16"/>
      <w:r>
        <w:t xml:space="preserve"> (Table 1).</w:t>
      </w:r>
    </w:p>
    <w:p w14:paraId="32940F24" w14:textId="77777777" w:rsidR="00B37B05" w:rsidRDefault="00000000">
      <w:pPr>
        <w:pStyle w:val="normalfirst"/>
        <w:ind w:firstLine="720"/>
      </w:pPr>
      <w:r>
        <w:t xml:space="preserve">Because lossless translation between signatures in the 83-type and the two new classification schemes is impossible </w:t>
      </w:r>
      <w:r>
        <w:rPr>
          <w:shd w:val="clear" w:color="auto" w:fill="00FFFF"/>
        </w:rPr>
        <w:t>(Table S1 &lt;rosetta stone&gt;),</w:t>
      </w:r>
      <w:r>
        <w:t xml:space="preserve"> we used tumor mutational spectra dominated by individual signatures to systematically elucidate correspondences between signatures in these classifiation schemes. </w:t>
      </w:r>
      <w:r>
        <w:rPr>
          <w:shd w:val="clear" w:color="auto" w:fill="00FFFF"/>
        </w:rPr>
        <w:t>Table 1</w:t>
      </w:r>
      <w:r>
        <w:t xml:space="preserve"> shows the correspondencess, with details and discussion in </w:t>
      </w:r>
      <w:r>
        <w:rPr>
          <w:shd w:val="clear" w:color="auto" w:fill="FFFF00"/>
        </w:rPr>
        <w:t>&lt;cite vignette and shiny app&gt;</w:t>
      </w:r>
    </w:p>
    <w:p w14:paraId="7515B43D" w14:textId="77777777" w:rsidR="00B37B05" w:rsidRDefault="00000000">
      <w:pPr>
        <w:pStyle w:val="normalfirst"/>
        <w:ind w:firstLine="720"/>
      </w:pPr>
      <w:r>
        <w:t>In several cases, the 89 and 476 type systems were able to distinguish signatures that the 83-type system merged</w:t>
      </w:r>
      <w:r>
        <w:rPr>
          <w:shd w:val="clear" w:color="auto" w:fill="FFFF00"/>
        </w:rPr>
        <w:t xml:space="preserve">. These are clearest and least surprising for deletions of single T bases in the context of tracts of poly-T &gt;= 5 in length and which across the spectra we analyzed are the most numerous among the groupings shown in plots of 89-type spectra, and the the monotonic </w:t>
      </w:r>
      <w:r>
        <w:rPr>
          <w:shd w:val="clear" w:color="auto" w:fill="FFFF00"/>
        </w:rPr>
        <w:lastRenderedPageBreak/>
        <w:t xml:space="preserve">increase in the numbers of these deletions with increasing length of the poly-T tract is also clear in a 476-type plot of all indels analyzed. </w:t>
      </w:r>
    </w:p>
    <w:p w14:paraId="5CB07208" w14:textId="77777777" w:rsidR="00B37B05" w:rsidRDefault="00B37B05">
      <w:pPr>
        <w:pStyle w:val="normalfirst"/>
        <w:rPr>
          <w:shd w:val="clear" w:color="auto" w:fill="FF0000"/>
        </w:rPr>
      </w:pPr>
    </w:p>
    <w:p w14:paraId="78139011" w14:textId="77777777" w:rsidR="00B37B05" w:rsidRDefault="00000000">
      <w:pPr>
        <w:pStyle w:val="normalfirst"/>
        <w:rPr>
          <w:shd w:val="clear" w:color="auto" w:fill="FF0000"/>
        </w:rPr>
      </w:pPr>
      <w:r>
        <w:rPr>
          <w:shd w:val="clear" w:color="auto" w:fill="FF0000"/>
        </w:rPr>
        <w:t>2? add info on assignments</w:t>
      </w:r>
    </w:p>
    <w:p w14:paraId="218AE359" w14:textId="77777777" w:rsidR="00B37B05" w:rsidRDefault="00000000">
      <w:pPr>
        <w:pStyle w:val="normalfirst"/>
        <w:rPr>
          <w:shd w:val="clear" w:color="auto" w:fill="FF0000"/>
        </w:rPr>
      </w:pPr>
      <w:r>
        <w:rPr>
          <w:shd w:val="clear" w:color="auto" w:fill="FF0000"/>
        </w:rPr>
        <w:t>1?</w:t>
      </w:r>
    </w:p>
    <w:p w14:paraId="68409AE1" w14:textId="77777777" w:rsidR="00B37B05" w:rsidRDefault="00B37B05">
      <w:pPr>
        <w:pStyle w:val="normalfirst"/>
        <w:ind w:firstLine="720"/>
        <w:rPr>
          <w:shd w:val="clear" w:color="auto" w:fill="FFFF00"/>
        </w:rPr>
      </w:pPr>
    </w:p>
    <w:p w14:paraId="1182A9DE" w14:textId="77777777" w:rsidR="00B37B05" w:rsidRDefault="00000000">
      <w:pPr>
        <w:pStyle w:val="normalfirst"/>
        <w:ind w:firstLine="720"/>
      </w:pPr>
      <w:r>
        <w:rPr>
          <w:rFonts w:eastAsia="宋体" w:hint="eastAsia"/>
        </w:rPr>
        <w:t>Conversely, there were two cases in which the 83-type and 476 type systems clearly differentiated signatures that were almost identical the 89-type system. One case consisted of InsDel13 and C with are nearly identical in the 89-type system because it combines deletion of single Ts in stretches of 1, 2, 3, or 4 Ts. However the 83 and 476 type systems show that InsDelC has deletions of 1 T from ATA (ATA</w:t>
      </w:r>
      <w:r>
        <w:rPr>
          <w:rFonts w:ascii="DejaVu Sans" w:hAnsi="DejaVu Sans" w:cs="DejaVu Sans" w:hint="eastAsia"/>
        </w:rPr>
        <w:t>→</w:t>
      </w:r>
      <w:r>
        <w:rPr>
          <w:rFonts w:eastAsia="宋体" w:hint="eastAsia"/>
        </w:rPr>
        <w:t>AA), while InsDel13 has deletions of T from ATTA (ATTA</w:t>
      </w:r>
      <w:r>
        <w:rPr>
          <w:rFonts w:ascii="DejaVu Sans" w:hAnsi="DejaVu Sans" w:cs="DejaVu Sans" w:hint="eastAsia"/>
        </w:rPr>
        <w:t>→</w:t>
      </w:r>
      <w:r>
        <w:rPr>
          <w:rFonts w:eastAsia="宋体" w:hint="eastAsia"/>
        </w:rPr>
        <w:t>ATA, Sup Figure S1A</w:t>
      </w:r>
      <w:r>
        <w:t>).</w:t>
      </w:r>
      <w:r>
        <w:rPr>
          <w:rFonts w:eastAsia="宋体" w:hint="eastAsia"/>
          <w:highlight w:val="yellow"/>
        </w:rPr>
        <w:t xml:space="preserve"> </w:t>
      </w:r>
    </w:p>
    <w:p w14:paraId="5CBB745A" w14:textId="76F427CC" w:rsidR="00B37B05" w:rsidRDefault="00000000">
      <w:pPr>
        <w:pStyle w:val="normalfirst"/>
        <w:ind w:firstLine="720"/>
      </w:pPr>
      <w:r>
        <w:rPr>
          <w:rFonts w:eastAsia="宋体" w:hint="eastAsia"/>
        </w:rPr>
        <w:t>The other case consisted of InsDel11 and InsDel16. InsDel11 has insertions of one C next to an isolated C (C with non-Cs on each side, e.g. ACG</w:t>
      </w:r>
      <w:r>
        <w:rPr>
          <w:rFonts w:eastAsia="宋体" w:hint="eastAsia"/>
        </w:rPr>
        <w:t>→</w:t>
      </w:r>
      <w:r>
        <w:rPr>
          <w:rFonts w:eastAsia="宋体" w:hint="eastAsia"/>
        </w:rPr>
        <w:t>ACCG) and insertion of a one T next to an isolated T (e.g. GTG</w:t>
      </w:r>
      <w:r>
        <w:rPr>
          <w:rFonts w:eastAsia="宋体" w:hint="eastAsia"/>
        </w:rPr>
        <w:t>→</w:t>
      </w:r>
      <w:r>
        <w:rPr>
          <w:rFonts w:eastAsia="宋体" w:hint="eastAsia"/>
        </w:rPr>
        <w:t>GTTG), while InsDel16, has insertion of one C between non-Cs (e.g. AT</w:t>
      </w:r>
      <w:r>
        <w:rPr>
          <w:rFonts w:eastAsia="宋体" w:hint="eastAsia"/>
        </w:rPr>
        <w:t>→</w:t>
      </w:r>
      <w:r>
        <w:rPr>
          <w:rFonts w:eastAsia="宋体" w:hint="eastAsia"/>
        </w:rPr>
        <w:t>ACT), and insertion of one T between non-Ts (e.g. AG</w:t>
      </w:r>
      <w:r>
        <w:rPr>
          <w:rFonts w:eastAsia="宋体" w:hint="eastAsia"/>
        </w:rPr>
        <w:t>→</w:t>
      </w:r>
      <w:r>
        <w:rPr>
          <w:rFonts w:eastAsia="宋体" w:hint="eastAsia"/>
        </w:rPr>
        <w:t>ATG Sup Figure S1B</w:t>
      </w:r>
      <w:r>
        <w:t xml:space="preserve">).  Again, </w:t>
      </w:r>
      <w:r>
        <w:rPr>
          <w:rFonts w:eastAsia="宋体" w:hint="eastAsia"/>
        </w:rPr>
        <w:t>the 89-type sy</w:t>
      </w:r>
      <w:r w:rsidR="006522F5">
        <w:rPr>
          <w:rFonts w:eastAsia="宋体" w:hint="eastAsia"/>
        </w:rPr>
        <w:t>s</w:t>
      </w:r>
      <w:r>
        <w:rPr>
          <w:rFonts w:eastAsia="宋体" w:hint="eastAsia"/>
        </w:rPr>
        <w:t>tem does not capture these differences, while the 83 and 476-type systems do.</w:t>
      </w:r>
    </w:p>
    <w:p w14:paraId="1E6B7E35" w14:textId="77777777" w:rsidR="00B37B05" w:rsidRDefault="00B37B05">
      <w:pPr>
        <w:pStyle w:val="normalfirst"/>
      </w:pPr>
    </w:p>
    <w:p w14:paraId="1CD5851B" w14:textId="77777777" w:rsidR="00B37B05" w:rsidRDefault="00000000">
      <w:pPr>
        <w:pStyle w:val="normalfirst"/>
        <w:rPr>
          <w:b/>
          <w:bCs/>
          <w:i/>
          <w:iCs/>
        </w:rPr>
      </w:pPr>
      <w:r>
        <w:rPr>
          <w:b/>
          <w:bCs/>
          <w:i/>
          <w:iCs/>
        </w:rPr>
        <w:t>New insights</w:t>
      </w:r>
    </w:p>
    <w:p w14:paraId="46602C15" w14:textId="77777777" w:rsidR="00B37B05" w:rsidRDefault="00000000">
      <w:pPr>
        <w:pStyle w:val="normalfirst"/>
        <w:rPr>
          <w:b/>
          <w:bCs/>
          <w:i/>
          <w:iCs/>
        </w:rPr>
      </w:pPr>
      <w:r>
        <w:rPr>
          <w:b/>
          <w:bCs/>
          <w:i/>
          <w:iCs/>
        </w:rPr>
        <w:lastRenderedPageBreak/>
        <w:t xml:space="preserve">AA </w:t>
      </w:r>
    </w:p>
    <w:p w14:paraId="72880235" w14:textId="77777777" w:rsidR="00B37B05" w:rsidRDefault="00000000">
      <w:pPr>
        <w:pStyle w:val="normalfirst"/>
      </w:pPr>
      <w:r>
        <w:t>One example of the benefits of the new classification schemes is that it reveals that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ascii="DejaVu Sans" w:hAnsi="DejaVu Sans" w:cs="DejaVu Sans" w:hint="eastAsia"/>
        </w:rPr>
        <w:t>→</w:t>
      </w:r>
      <w:r>
        <w:t xml:space="preserve">T single base substitutions in the AA SBS signature and of the frequent involvement of adenines in the AA DBS signatures </w:t>
      </w:r>
      <w:r>
        <w:rPr>
          <w:shd w:val="clear" w:color="auto" w:fill="00FFFF"/>
        </w:rPr>
        <w:t>&lt;cite chinese liver cancer paper&gt;.</w:t>
      </w:r>
    </w:p>
    <w:p w14:paraId="66C9B0A0" w14:textId="77777777" w:rsidR="00B37B05" w:rsidRDefault="00000000">
      <w:pPr>
        <w:pStyle w:val="normalfirst"/>
        <w:rPr>
          <w:b/>
          <w:bCs/>
          <w:i/>
          <w:iCs/>
        </w:rPr>
      </w:pPr>
      <w:r>
        <w:rPr>
          <w:b/>
          <w:bCs/>
          <w:i/>
          <w:iCs/>
        </w:rPr>
        <w:t>PARAGRAPH InsDel17 (top2A) vs InsDel8</w:t>
      </w:r>
    </w:p>
    <w:p w14:paraId="6289D040" w14:textId="77777777" w:rsidR="00B37B05" w:rsidRDefault="00000000">
      <w:pPr>
        <w:pStyle w:val="normalfirst"/>
        <w:rPr>
          <w:b/>
          <w:bCs/>
          <w:i/>
          <w:iCs/>
        </w:rPr>
      </w:pPr>
      <w:r>
        <w:rPr>
          <w:b/>
          <w:bCs/>
          <w:i/>
          <w:iCs/>
        </w:rPr>
        <w:t xml:space="preserve">PARAGRAPH: A_beta looks like apobec in (already known) / a alpha not correlated  A beta is TCA → TA and TCT → TT, SBS2 TCA →  TTA, TCT → TTT SBS13 is TCA → TGA, TCT -&gt;TGT </w:t>
      </w:r>
      <w:hyperlink r:id="rId14">
        <w:r>
          <w:rPr>
            <w:rStyle w:val="Hyperlink"/>
            <w:b/>
            <w:bCs/>
            <w:i/>
            <w:iCs/>
          </w:rPr>
          <w:t>https://www.sciencedirect.com/science/article/pii/S2211124722002996</w:t>
        </w:r>
      </w:hyperlink>
    </w:p>
    <w:p w14:paraId="5C071731" w14:textId="77777777" w:rsidR="00B37B05" w:rsidRDefault="00000000">
      <w:pPr>
        <w:pStyle w:val="normalfirst"/>
        <w:rPr>
          <w:b/>
          <w:bCs/>
          <w:i/>
          <w:iCs/>
        </w:rPr>
      </w:pPr>
      <w:r>
        <w:rPr>
          <w:b/>
          <w:bCs/>
          <w:i/>
          <w:iCs/>
        </w:rPr>
        <w:t>Koh already cited the paper above; did the paper look at the context -- NO</w:t>
      </w:r>
    </w:p>
    <w:p w14:paraId="17119AE1" w14:textId="77777777" w:rsidR="00B37B05" w:rsidRDefault="00000000">
      <w:pPr>
        <w:pStyle w:val="normalfirst"/>
        <w:rPr>
          <w:b/>
          <w:bCs/>
          <w:i/>
          <w:iCs/>
        </w:rPr>
      </w:pPr>
      <w:r>
        <w:rPr>
          <w:rStyle w:val="Hyperlink"/>
          <w:b/>
          <w:bCs/>
          <w:i/>
          <w:iCs/>
          <w:color w:val="000000"/>
          <w:u w:val="none"/>
        </w:rPr>
        <w:t xml:space="preserve">MAYBE: </w:t>
      </w:r>
      <w:r>
        <w:rPr>
          <w:b/>
          <w:bCs/>
          <w:i/>
          <w:iCs/>
        </w:rPr>
        <w:t>Sig H – 476 doesn’t really capture it</w:t>
      </w:r>
    </w:p>
    <w:p w14:paraId="196F68AE" w14:textId="77777777" w:rsidR="00B37B05" w:rsidRDefault="00000000">
      <w:pPr>
        <w:pStyle w:val="normalfirst"/>
        <w:rPr>
          <w:b/>
          <w:bCs/>
          <w:i/>
          <w:iCs/>
        </w:rPr>
      </w:pPr>
      <w:r>
        <w:rPr>
          <w:b/>
          <w:bCs/>
          <w:i/>
          <w:iCs/>
        </w:rPr>
        <w:t>PARAGRAPH N_beta is the new ID2</w:t>
      </w:r>
    </w:p>
    <w:p w14:paraId="620FA4DD" w14:textId="12B91AD8" w:rsidR="00B37B05" w:rsidRDefault="00000000">
      <w:r>
        <w:t xml:space="preserve">&lt;but this sentence above in subsection on splitting 1 and 2&gt; When an 83-type signature corresponded to multiple 89-type signatures, such as C_ID1 being represented by InsDel1a, InsDel1b, and InsDel1c, these subdivided signatures often exhibited cancer type specificity or reflected distinct mutational processes. C_ID1 was present across nearly all cancer types. InsDel1a showed the highest prevalence in most cancer types and exhibited moderate activity </w:t>
      </w:r>
      <w:r>
        <w:lastRenderedPageBreak/>
        <w:t>levels. In contrast, InsDel1b accounted for a greater number of mutations in colon cancer and was associated with POLE deficiency and impaired DNA mismatch repair (</w:t>
      </w:r>
      <w:commentRangeStart w:id="17"/>
      <w:r w:rsidRPr="006522F5">
        <w:rPr>
          <w:highlight w:val="cyan"/>
          <w:shd w:val="clear" w:color="auto" w:fill="00FFFF"/>
        </w:rPr>
        <w:t>Table S</w:t>
      </w:r>
      <w:commentRangeEnd w:id="17"/>
      <w:r w:rsidR="006522F5">
        <w:rPr>
          <w:rStyle w:val="CommentReference"/>
          <w:rFonts w:eastAsia="宋体" w:hint="eastAsia"/>
          <w:sz w:val="24"/>
          <w:szCs w:val="24"/>
        </w:rPr>
        <w:commentReference w:id="17"/>
      </w:r>
      <w:r w:rsidR="00BA50F7">
        <w:rPr>
          <w:rFonts w:eastAsia="宋体" w:hint="eastAsia"/>
        </w:rPr>
        <w:t>9</w:t>
      </w:r>
      <w:r>
        <w:t>; as also suggested by Koh et al., 2025).</w:t>
      </w:r>
      <w:r>
        <w:rPr>
          <w:rFonts w:eastAsia="宋体" w:hint="eastAsia"/>
        </w:rPr>
        <w:t xml:space="preserve"> &lt;not sure where this goes&gt; </w:t>
      </w:r>
      <w:r>
        <w:t>A similar pattern was observed for ID_N, which was found in all cancer types. Its sub-signature, InsDel_N</w:t>
      </w:r>
      <w:r>
        <w:rPr>
          <w:rFonts w:eastAsia="宋体"/>
        </w:rPr>
        <w:t>α</w:t>
      </w:r>
      <w:r>
        <w:t>, was specifically linked to POLE mutations and mismatch repair deficiency, whereas InsDel_N</w:t>
      </w:r>
      <w:r>
        <w:rPr>
          <w:rFonts w:eastAsia="宋体"/>
        </w:rPr>
        <w:t>β</w:t>
      </w:r>
      <w:r>
        <w:t xml:space="preserve"> was prevalent across a broad range of cancer types.</w:t>
      </w:r>
    </w:p>
    <w:p w14:paraId="0D34A155" w14:textId="77777777" w:rsidR="00B37B05" w:rsidRDefault="00000000">
      <w:pPr>
        <w:pStyle w:val="Heading3"/>
        <w:numPr>
          <w:ilvl w:val="0"/>
          <w:numId w:val="0"/>
        </w:numPr>
        <w:rPr>
          <w:i/>
          <w:iCs/>
          <w:sz w:val="24"/>
          <w:szCs w:val="24"/>
        </w:rPr>
      </w:pPr>
      <w:r>
        <w:rPr>
          <w:i/>
          <w:iCs/>
          <w:sz w:val="24"/>
          <w:szCs w:val="24"/>
        </w:rPr>
        <w:t>Associations between indel signatures and SBS signatures</w:t>
      </w:r>
    </w:p>
    <w:p w14:paraId="371DF4B3" w14:textId="713F2D05" w:rsidR="00B37B05" w:rsidRDefault="00000000">
      <w:r>
        <w:t>We further analyzed the correlations between the i</w:t>
      </w:r>
      <w:r>
        <w:rPr>
          <w:rFonts w:hint="eastAsia"/>
        </w:rPr>
        <w:t>ndel</w:t>
      </w:r>
      <w:r>
        <w:t xml:space="preserve"> signature activities we derived and SBS signature activities</w:t>
      </w:r>
      <w:r>
        <w:rPr>
          <w:shd w:val="clear" w:color="auto" w:fill="00FFFF"/>
        </w:rPr>
        <w:t xml:space="preserve"> from &lt;use reference&gt; Degasperi et al</w:t>
      </w:r>
      <w:r>
        <w:t>. (</w:t>
      </w:r>
      <w:r>
        <w:rPr>
          <w:shd w:val="clear" w:color="auto" w:fill="00FFFF"/>
        </w:rPr>
        <w:t>Tables S</w:t>
      </w:r>
      <w:r w:rsidR="00BA50F7">
        <w:rPr>
          <w:rFonts w:eastAsia="宋体" w:hint="eastAsia"/>
          <w:shd w:val="clear" w:color="auto" w:fill="00FFFF"/>
        </w:rPr>
        <w:t>10</w:t>
      </w:r>
      <w:r>
        <w:rPr>
          <w:rFonts w:hint="eastAsia"/>
          <w:shd w:val="clear" w:color="auto" w:fill="00FFFF"/>
        </w:rPr>
        <w:t>, S</w:t>
      </w:r>
      <w:r w:rsidR="00BA50F7">
        <w:rPr>
          <w:rFonts w:eastAsia="宋体" w:hint="eastAsia"/>
          <w:shd w:val="clear" w:color="auto" w:fill="00FFFF"/>
        </w:rPr>
        <w:t>11</w:t>
      </w:r>
      <w:r>
        <w:t xml:space="preserve">). Correlation analysis showed that the 89-type signature classification can distinguish more nuanced mutational processes than the 83-type scheme </w:t>
      </w:r>
      <w:r>
        <w:rPr>
          <w:shd w:val="clear" w:color="auto" w:fill="00FFFF"/>
        </w:rPr>
        <w:t>&lt;need a visual or a table or something to show “more nuanced” (above) and “improved resolution” (next sentence)&gt;</w:t>
      </w:r>
      <w:r>
        <w:t xml:space="preserve">. These signatures displayed unique patterns of association with SBS signatures, emphasizing the improved resolution and specificity the 89-type taxonomy provides. Using unsupervised hierarchical clustering, we grouped mutational signatures into several distinct modules </w:t>
      </w:r>
      <w:r>
        <w:rPr>
          <w:shd w:val="clear" w:color="auto" w:fill="00FFFF"/>
        </w:rPr>
        <w:t>(Figure 5)</w:t>
      </w:r>
      <w:r>
        <w:t>. The APOBEC-related cluster includes SBS2 and SBS13 and showes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14:paraId="1341410F" w14:textId="77777777" w:rsidR="00B37B05" w:rsidRDefault="00000000">
      <w:r>
        <w:lastRenderedPageBreak/>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14:paraId="4969A19C" w14:textId="77777777" w:rsidR="00B37B05" w:rsidRDefault="00000000">
      <w:r>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14:paraId="7469AA3F" w14:textId="77777777" w:rsidR="00B37B05" w:rsidRDefault="00000000">
      <w: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formation. Meanwhile, C_ID1 and InsDel1a </w:t>
      </w:r>
      <w:r>
        <w:lastRenderedPageBreak/>
        <w:t>exhibited stronger correlations with SBS1 and SBS18, supporting their association with mutagenesis driven by reactive oxygen species (Figure 5, “GI-ROS”).</w:t>
      </w:r>
    </w:p>
    <w:p w14:paraId="14B52528" w14:textId="77777777" w:rsidR="00B37B05" w:rsidRDefault="00000000">
      <w:pPr>
        <w:pStyle w:val="Heading2"/>
      </w:pPr>
      <w:r>
        <w:rPr>
          <w:rFonts w:hint="eastAsia"/>
        </w:rPr>
        <w:t>Topography of indel mutational signatures</w:t>
      </w:r>
    </w:p>
    <w:p w14:paraId="045F2329" w14:textId="77777777" w:rsidR="00B37B05" w:rsidRDefault="00000000">
      <w:r>
        <w:t>Interesting – ID_K lagging strand enrichment related to POLE</w:t>
      </w:r>
    </w:p>
    <w:p w14:paraId="50D49524" w14:textId="72BC11D5" w:rsidR="00B37B05" w:rsidRDefault="00000000">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t>Transcription strand asymmetries were shown in 17 out of 33 83-type signatures (Figure</w:t>
      </w:r>
      <w:r w:rsidR="00A2161A">
        <w:rPr>
          <w:rFonts w:eastAsia="宋体" w:hint="eastAsia"/>
        </w:rPr>
        <w:t xml:space="preserve"> </w:t>
      </w:r>
      <w:r>
        <w:rPr>
          <w:rFonts w:hint="eastAsia"/>
        </w:rPr>
        <w:t>6A</w:t>
      </w:r>
      <w:r w:rsidR="00A2161A">
        <w:rPr>
          <w:rFonts w:eastAsia="宋体" w:hint="eastAsia"/>
        </w:rPr>
        <w:t xml:space="preserve">, </w:t>
      </w:r>
      <w:r w:rsidR="00A2161A" w:rsidRPr="00A2161A">
        <w:rPr>
          <w:rFonts w:eastAsia="宋体" w:hint="eastAsia"/>
          <w:highlight w:val="cyan"/>
        </w:rPr>
        <w:t xml:space="preserve">Figure </w:t>
      </w:r>
      <w:r w:rsidRPr="00A2161A">
        <w:rPr>
          <w:rFonts w:hint="eastAsia"/>
          <w:highlight w:val="cyan"/>
        </w:rPr>
        <w:t>S</w:t>
      </w:r>
      <w:r w:rsidR="00A2161A" w:rsidRPr="00A2161A">
        <w:rPr>
          <w:rFonts w:eastAsia="宋体" w:hint="eastAsia"/>
          <w:highlight w:val="cyan"/>
        </w:rPr>
        <w:t>2</w:t>
      </w:r>
      <w:r w:rsidRPr="00A2161A">
        <w:rPr>
          <w:rFonts w:hint="eastAsia"/>
          <w:highlight w:val="cyan"/>
        </w:rPr>
        <w:t>C</w:t>
      </w:r>
      <w:r w:rsidRPr="00A2161A">
        <w:rPr>
          <w:highlight w:val="cyan"/>
        </w:rPr>
        <w:t xml:space="preserve">, Table </w:t>
      </w:r>
      <w:r w:rsidRPr="00A2161A">
        <w:rPr>
          <w:rFonts w:hint="eastAsia"/>
          <w:highlight w:val="cyan"/>
        </w:rPr>
        <w:t>S</w:t>
      </w:r>
      <w:r w:rsidR="00BA50F7" w:rsidRPr="00A2161A">
        <w:rPr>
          <w:rFonts w:eastAsia="宋体" w:hint="eastAsia"/>
          <w:highlight w:val="cyan"/>
        </w:rPr>
        <w:t>12</w:t>
      </w:r>
      <w:r>
        <w:t>). Signatures attributed to exogenous mutational processes, such as C_ID3 (tobacco smoking exposure), C_ID14 (</w:t>
      </w:r>
      <w:r>
        <w:rPr>
          <w:rFonts w:hint="eastAsia"/>
        </w:rPr>
        <w:t>SBS93 correlated</w:t>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t>
      </w:r>
      <w:r w:rsidR="00477CFE">
        <w:t>were</w:t>
      </w:r>
      <w:r>
        <w:t xml:space="preserve"> observed for C_ID1 (slippage during DNA replication) and C_ID5 (clock-like signature), while enriched mutations on the transcribed strand </w:t>
      </w:r>
      <w:r w:rsidR="00A2161A">
        <w:t>were</w:t>
      </w:r>
      <w:r>
        <w:t xml:space="preserve"> observed for </w:t>
      </w:r>
      <w:r>
        <w:rPr>
          <w:rFonts w:eastAsia="宋体" w:hint="eastAsia"/>
          <w:shd w:val="clear" w:color="auto" w:fill="FFFF00"/>
        </w:rPr>
        <w:t>ID_F</w:t>
      </w:r>
      <w:r>
        <w:rPr>
          <w:shd w:val="clear" w:color="auto" w:fill="FFFF00"/>
        </w:rPr>
        <w:t xml:space="preserve"> (TOP1-mediated mutagenesis). Interestingly, 3 defective MMR signatures also showed tran</w:t>
      </w:r>
      <w:r>
        <w:t xml:space="preserve">scription strand asymmetries in different directions, with two of them (C_ID7 and </w:t>
      </w:r>
      <w:r>
        <w:rPr>
          <w:rFonts w:eastAsia="宋体" w:hint="eastAsia"/>
        </w:rPr>
        <w:t>ID_K</w:t>
      </w:r>
      <w:r>
        <w:t>) having enriched mutations on the transcribed strand, and one of them (</w:t>
      </w:r>
      <w:r>
        <w:rPr>
          <w:rFonts w:eastAsia="宋体" w:hint="eastAsia"/>
        </w:rPr>
        <w:t>ID_N</w:t>
      </w:r>
      <w:r>
        <w:t>) having enriched mutations mainly on the un-transcribed strand. Replication strand asymmetries were observed in 12 out of 33 83</w:t>
      </w:r>
      <w:r>
        <w:rPr>
          <w:rFonts w:hint="eastAsia"/>
        </w:rPr>
        <w:t>-</w:t>
      </w:r>
      <w:r>
        <w:t xml:space="preserve">type signatures (Figure </w:t>
      </w:r>
      <w:r>
        <w:rPr>
          <w:rFonts w:hint="eastAsia"/>
        </w:rPr>
        <w:t>6B</w:t>
      </w:r>
      <w:r w:rsidR="00A2161A">
        <w:rPr>
          <w:rFonts w:eastAsia="宋体" w:hint="eastAsia"/>
        </w:rPr>
        <w:t xml:space="preserve">, </w:t>
      </w:r>
      <w:r w:rsidR="00A2161A" w:rsidRPr="00A2161A">
        <w:rPr>
          <w:rFonts w:eastAsia="宋体" w:hint="eastAsia"/>
          <w:highlight w:val="cyan"/>
        </w:rPr>
        <w:t xml:space="preserve">Figure </w:t>
      </w:r>
      <w:r w:rsidR="00A2161A" w:rsidRPr="00A2161A">
        <w:rPr>
          <w:rFonts w:hint="eastAsia"/>
          <w:highlight w:val="cyan"/>
        </w:rPr>
        <w:t>S</w:t>
      </w:r>
      <w:r w:rsidR="00A2161A" w:rsidRPr="00A2161A">
        <w:rPr>
          <w:rFonts w:eastAsia="宋体" w:hint="eastAsia"/>
          <w:highlight w:val="cyan"/>
        </w:rPr>
        <w:t>2</w:t>
      </w:r>
      <w:r w:rsidRPr="00A2161A">
        <w:rPr>
          <w:rFonts w:hint="eastAsia"/>
          <w:highlight w:val="cyan"/>
        </w:rPr>
        <w:t>B</w:t>
      </w:r>
      <w:r w:rsidRPr="00A2161A">
        <w:rPr>
          <w:highlight w:val="cyan"/>
        </w:rPr>
        <w:t xml:space="preserve">, Table </w:t>
      </w:r>
      <w:r w:rsidRPr="00A2161A">
        <w:rPr>
          <w:rFonts w:hint="eastAsia"/>
          <w:highlight w:val="cyan"/>
        </w:rPr>
        <w:t>S</w:t>
      </w:r>
      <w:r w:rsidR="00A2161A" w:rsidRPr="00A2161A">
        <w:rPr>
          <w:rFonts w:eastAsia="宋体" w:hint="eastAsia"/>
          <w:highlight w:val="cyan"/>
        </w:rPr>
        <w:t>12</w:t>
      </w:r>
      <w:r>
        <w:t xml:space="preserve">). Similar to transcription strand asymmetries, </w:t>
      </w:r>
      <w:r>
        <w:lastRenderedPageBreak/>
        <w:t xml:space="preserve">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t xml:space="preserve"> on the leading strand (</w:t>
      </w:r>
      <w:r>
        <w:rPr>
          <w:rFonts w:eastAsia="宋体" w:hint="eastAsia"/>
        </w:rPr>
        <w:t>ID_K</w:t>
      </w:r>
      <w:r>
        <w:t xml:space="preserve">) or on the lagging strand (C_ID7 and </w:t>
      </w:r>
      <w:r>
        <w:rPr>
          <w:rFonts w:eastAsia="宋体" w:hint="eastAsia"/>
        </w:rPr>
        <w:t>ID_N</w:t>
      </w:r>
      <w:r>
        <w:t>).</w:t>
      </w:r>
    </w:p>
    <w:p w14:paraId="066A573B" w14:textId="77777777" w:rsidR="00B37B05" w:rsidRDefault="00000000">
      <w:r>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Pr>
          <w:rFonts w:hint="eastAsia"/>
        </w:rPr>
        <w:t>6C)</w:t>
      </w:r>
      <w:r>
        <w:t xml:space="preserve">. Among the 6 signatures, 5 of them were associated with defective endogenous mutational processes, including </w:t>
      </w:r>
      <w:r>
        <w:rPr>
          <w:rFonts w:hint="eastAsia"/>
        </w:rPr>
        <w:t>C_ID8</w:t>
      </w:r>
      <w:r>
        <w:t xml:space="preserve"> (Repair of DNA double strand breaks by NHEJ), C_ID17(TOP2A K743N mediated mutagenesis), </w:t>
      </w:r>
      <w:r>
        <w:rPr>
          <w:rFonts w:eastAsia="宋体" w:hint="eastAsia"/>
        </w:rPr>
        <w:t xml:space="preserve">ID_F </w:t>
      </w:r>
      <w:r>
        <w:t xml:space="preserve">(TOP1-mediated mutagenesis) </w:t>
      </w:r>
      <w:r>
        <w:rPr>
          <w:rFonts w:hint="eastAsia"/>
        </w:rPr>
        <w:t>a</w:t>
      </w:r>
      <w:r>
        <w:t xml:space="preserve">nd ID_L (defective MMR). Another 2 signatures with mutation enriched in genic regions were of unknown etiology (C_ID4, </w:t>
      </w:r>
      <w:r>
        <w:rPr>
          <w:rFonts w:eastAsia="宋体" w:hint="eastAsia"/>
        </w:rPr>
        <w:t>ID_</w:t>
      </w:r>
      <w:r>
        <w:rPr>
          <w:rFonts w:eastAsia="宋体"/>
        </w:rPr>
        <w:t>E</w:t>
      </w:r>
      <w:r>
        <w:t>).</w:t>
      </w:r>
    </w:p>
    <w:p w14:paraId="38A11B0C" w14:textId="53B4ACBB" w:rsidR="00B37B05" w:rsidRDefault="00000000">
      <w:r>
        <w:t>The effect of DNA replication timing was also observed in many 83-type signatures</w:t>
      </w:r>
      <w:r>
        <w:rPr>
          <w:rFonts w:hint="eastAsia"/>
        </w:rPr>
        <w:t xml:space="preserve"> (Figure 6D</w:t>
      </w:r>
      <w:r w:rsidR="0033359F">
        <w:rPr>
          <w:rFonts w:ascii="宋体" w:eastAsia="宋体" w:hAnsi="宋体" w:cs="宋体" w:hint="eastAsia"/>
        </w:rPr>
        <w:t>,</w:t>
      </w:r>
      <w:r w:rsidR="0033359F">
        <w:rPr>
          <w:rFonts w:eastAsia="宋体" w:hint="eastAsia"/>
        </w:rPr>
        <w:t xml:space="preserve"> </w:t>
      </w:r>
      <w:r w:rsidR="0033359F" w:rsidRPr="00A2161A">
        <w:rPr>
          <w:rFonts w:eastAsia="宋体" w:hint="eastAsia"/>
          <w:highlight w:val="cyan"/>
        </w:rPr>
        <w:t xml:space="preserve">Figure </w:t>
      </w:r>
      <w:r w:rsidR="0033359F" w:rsidRPr="00A2161A">
        <w:rPr>
          <w:rFonts w:hint="eastAsia"/>
          <w:highlight w:val="cyan"/>
        </w:rPr>
        <w:t>S</w:t>
      </w:r>
      <w:r w:rsidR="0033359F">
        <w:rPr>
          <w:rFonts w:eastAsia="宋体" w:hint="eastAsia"/>
          <w:highlight w:val="cyan"/>
        </w:rPr>
        <w:t>3</w:t>
      </w:r>
      <w:r w:rsidR="0033359F" w:rsidRPr="00A2161A">
        <w:rPr>
          <w:highlight w:val="cyan"/>
        </w:rPr>
        <w:t>,</w:t>
      </w:r>
      <w:r>
        <w:t xml:space="preserve">, </w:t>
      </w:r>
      <w:r w:rsidRPr="00477CFE">
        <w:rPr>
          <w:highlight w:val="cyan"/>
        </w:rPr>
        <w:t>Table S</w:t>
      </w:r>
      <w:r w:rsidR="00BA50F7">
        <w:rPr>
          <w:rFonts w:eastAsia="宋体" w:hint="eastAsia"/>
        </w:rPr>
        <w:t>13</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t xml:space="preserve"> two defective MMR signatures (ID_7 and ID_K). Interestingly, </w:t>
      </w:r>
      <w:r w:rsidR="00477CFE">
        <w:rPr>
          <w:rFonts w:eastAsia="宋体" w:hint="eastAsia"/>
        </w:rPr>
        <w:t>s</w:t>
      </w:r>
      <w:r>
        <w:t xml:space="preserve">everal signatures showed cancer-specific enrichment in replication timing, including </w:t>
      </w:r>
      <w:r>
        <w:rPr>
          <w:rFonts w:hint="eastAsia"/>
        </w:rPr>
        <w:t>C_ID8</w:t>
      </w:r>
      <w: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w:t>
      </w:r>
      <w:r>
        <w:lastRenderedPageBreak/>
        <w:t>enrichment in late-replicating regions, which is consistent with what we observed 83-type signatures (</w:t>
      </w:r>
      <w:r w:rsidRPr="00BA50F7">
        <w:rPr>
          <w:highlight w:val="cyan"/>
        </w:rPr>
        <w:t>Figure S</w:t>
      </w:r>
      <w:r w:rsidR="0033359F">
        <w:rPr>
          <w:rFonts w:eastAsia="宋体" w:hint="eastAsia"/>
          <w:highlight w:val="cyan"/>
        </w:rPr>
        <w:t>4</w:t>
      </w:r>
      <w:r w:rsidRPr="00BA50F7">
        <w:rPr>
          <w:highlight w:val="cyan"/>
        </w:rPr>
        <w:t>, Table S</w:t>
      </w:r>
      <w:r w:rsidR="00BA50F7" w:rsidRPr="00BA50F7">
        <w:rPr>
          <w:rFonts w:eastAsia="宋体" w:hint="eastAsia"/>
          <w:highlight w:val="cyan"/>
        </w:rPr>
        <w:t>14</w:t>
      </w:r>
      <w:r>
        <w:t>). InsDel</w:t>
      </w:r>
      <w:r>
        <w:rPr>
          <w:rFonts w:eastAsia="宋体"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17976012" w14:textId="77777777" w:rsidR="00B37B05" w:rsidRDefault="00000000">
      <w:pPr>
        <w:pStyle w:val="Heading2"/>
      </w:pPr>
      <w:r>
        <w:t>New indel type classifications reveal an accurate signature of RNase H2 deficiency</w:t>
      </w:r>
    </w:p>
    <w:p w14:paraId="254D5BAC" w14:textId="7B2DDE80" w:rsidR="00B37B05" w:rsidRDefault="00000000">
      <w:r>
        <w:t xml:space="preserve">Cells with RNase H2 deficiency cannot efficiently remove ribonucleotides that had previously been incorporated into genomic DNA, and this sets the stage for topoisomerase-1 (TOP1) associated mutagenesis. This was previously thought to generate indel signature ID4 </w:t>
      </w:r>
      <w:bookmarkStart w:id="18" w:name="ZOTERO_BREF_xeDB1zkV4c3y"/>
      <w:r>
        <w:t>(Jin et al. 2024a; Reijns et al. 2022; Koh et al. 2025)</w:t>
      </w:r>
      <w:bookmarkEnd w:id="18"/>
      <w:r>
        <w:t xml:space="preserve">. However, we detected a new indel signature, InsDel_F, which better corresponds to RNase H2 deficiency experimental data than ID4 </w:t>
      </w:r>
      <w:r>
        <w:rPr>
          <w:shd w:val="clear" w:color="auto" w:fill="FFFF00"/>
        </w:rPr>
        <w:t>(Figure</w:t>
      </w:r>
      <w:r w:rsidR="0033359F">
        <w:rPr>
          <w:rFonts w:eastAsia="宋体" w:hint="eastAsia"/>
          <w:shd w:val="clear" w:color="auto" w:fill="FFFF00"/>
        </w:rPr>
        <w:t xml:space="preserve"> 6</w:t>
      </w:r>
      <w:r>
        <w:rPr>
          <w:shd w:val="clear" w:color="auto" w:fill="FFFF00"/>
        </w:rPr>
        <w:t xml:space="preserve"> </w:t>
      </w:r>
      <w:commentRangeStart w:id="19"/>
      <w:r>
        <w:rPr>
          <w:shd w:val="clear" w:color="auto" w:fill="FFFF00"/>
        </w:rPr>
        <w:t>or Supplementary Figure Fvs4</w:t>
      </w:r>
      <w:commentRangeEnd w:id="19"/>
      <w:r w:rsidR="005C462B">
        <w:rPr>
          <w:rStyle w:val="CommentReference"/>
          <w:sz w:val="24"/>
          <w:szCs w:val="24"/>
          <w:shd w:val="clear" w:color="auto" w:fill="FFFF00"/>
        </w:rPr>
        <w:commentReference w:id="19"/>
      </w:r>
      <w:r>
        <w:rPr>
          <w:shd w:val="clear" w:color="auto" w:fill="FFFF00"/>
        </w:rPr>
        <w:t>)</w:t>
      </w:r>
      <w:r>
        <w:t xml:space="preserve">. The profile of deletions of </w:t>
      </w:r>
      <w:r>
        <w:rPr>
          <w:rFonts w:ascii="Liberation Serif" w:eastAsia="Liberation Serif" w:hAnsi="Liberation Serif" w:cs="Liberation Serif"/>
        </w:rPr>
        <w:t>≥</w:t>
      </w:r>
      <w: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 Like InsDel_F, these cell-line spectra have 2-base deletions with microhomology and2 2-base deletions from paired 2-base doubles while conspicuously lacking the 3- and 4-base deletions present in InsDel4. Similarly, RNase H2 deficient mouse tumors have high proportions </w:t>
      </w:r>
      <w:r>
        <w:lastRenderedPageBreak/>
        <w:t>of the 2-base deletions characteristic of InsDel_F and again, like InsDel_F, lack the 3 and 4 base deletions present in InsDel4.</w:t>
      </w:r>
    </w:p>
    <w:p w14:paraId="23C293C0" w14:textId="77777777" w:rsidR="00B37B05" w:rsidRDefault="00B37B05">
      <w:pPr>
        <w:ind w:firstLine="0"/>
      </w:pPr>
    </w:p>
    <w:p w14:paraId="7AAB046A" w14:textId="77777777" w:rsidR="00B37B05" w:rsidRDefault="00000000">
      <w:pPr>
        <w:ind w:firstLine="0"/>
        <w:rPr>
          <w:color w:val="000000"/>
          <w:shd w:val="clear" w:color="auto" w:fill="FFFF00"/>
        </w:rPr>
      </w:pPr>
      <w:r>
        <w:rPr>
          <w:color w:val="000000"/>
          <w:shd w:val="clear" w:color="auto" w:fill="FFFF00"/>
        </w:rPr>
        <w:t>NOVEL SIGNATURES MAYBE JUST A TABLE</w:t>
      </w:r>
    </w:p>
    <w:p w14:paraId="0DD54448" w14:textId="77777777" w:rsidR="00B37B05" w:rsidRDefault="00000000">
      <w:pPr>
        <w:pStyle w:val="Heading2"/>
        <w:rPr>
          <w:rFonts w:eastAsia="宋体"/>
        </w:rPr>
      </w:pPr>
      <w:commentRangeStart w:id="20"/>
      <w:r>
        <w:t>Demographic Associations</w:t>
      </w:r>
      <w:r>
        <w:rPr>
          <w:rFonts w:eastAsia="宋体" w:hint="eastAsia"/>
        </w:rPr>
        <w:t xml:space="preserve"> with Gender and Age</w:t>
      </w:r>
      <w:commentRangeEnd w:id="20"/>
      <w:r>
        <w:rPr>
          <w:rStyle w:val="CommentReference"/>
          <w:rFonts w:eastAsia="宋体"/>
          <w:sz w:val="24"/>
          <w:szCs w:val="24"/>
        </w:rPr>
        <w:commentReference w:id="20"/>
      </w:r>
    </w:p>
    <w:p w14:paraId="49A935AE" w14:textId="228C6FA0" w:rsidR="00B37B05" w:rsidRDefault="00000000">
      <w:pPr>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sidR="00C84ADA" w:rsidRPr="00C84ADA">
        <w:rPr>
          <w:rFonts w:eastAsia="宋体" w:hint="eastAsia"/>
          <w:highlight w:val="cyan"/>
        </w:rPr>
        <w:t>Figure S6</w:t>
      </w:r>
      <w:r w:rsidRPr="00C84ADA">
        <w:rPr>
          <w:rFonts w:eastAsia="宋体" w:hint="eastAsia"/>
          <w:highlight w:val="cyan"/>
        </w:rPr>
        <w:t>A</w:t>
      </w:r>
      <w:r w:rsidR="00477CFE" w:rsidRPr="00C84ADA">
        <w:rPr>
          <w:rFonts w:eastAsia="宋体" w:hint="eastAsia"/>
          <w:highlight w:val="cyan"/>
        </w:rPr>
        <w:t>,</w:t>
      </w:r>
      <w:r w:rsidR="00477CFE">
        <w:rPr>
          <w:rFonts w:eastAsia="宋体" w:hint="eastAsia"/>
        </w:rPr>
        <w:t xml:space="preserve"> </w:t>
      </w:r>
      <w:r w:rsidR="00477CFE" w:rsidRPr="00BC09D8">
        <w:rPr>
          <w:rFonts w:eastAsia="宋体" w:hint="eastAsia"/>
          <w:highlight w:val="cyan"/>
        </w:rPr>
        <w:t>Table S</w:t>
      </w:r>
      <w:r w:rsidR="00BA50F7" w:rsidRPr="00BC09D8">
        <w:rPr>
          <w:rFonts w:eastAsia="宋体" w:hint="eastAsia"/>
          <w:highlight w:val="cyan"/>
        </w:rPr>
        <w:t>15</w:t>
      </w:r>
      <w:r>
        <w:rPr>
          <w:rFonts w:eastAsia="宋体" w:hint="eastAsia"/>
        </w:rPr>
        <w:t>)</w:t>
      </w:r>
      <w:r>
        <w:rPr>
          <w:rFonts w:eastAsia="宋体"/>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14:paraId="7B7D1E89" w14:textId="1C60D11F" w:rsidR="00B37B05" w:rsidRDefault="00000000">
      <w:pPr>
        <w:rPr>
          <w:rFonts w:eastAsia="宋体"/>
        </w:rPr>
      </w:pPr>
      <w:r>
        <w:rPr>
          <w:rFonts w:eastAsia="宋体"/>
        </w:rPr>
        <w:lastRenderedPageBreak/>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sidR="00C84ADA" w:rsidRPr="00C84ADA">
        <w:rPr>
          <w:rFonts w:eastAsia="宋体" w:hint="eastAsia"/>
          <w:highlight w:val="cyan"/>
        </w:rPr>
        <w:t>Figure S6B</w:t>
      </w:r>
      <w:r>
        <w:rPr>
          <w:rFonts w:eastAsia="宋体" w:hint="eastAsia"/>
        </w:rPr>
        <w:t>)</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highlight w:val="yellow"/>
        </w:rPr>
        <w:t>(</w:t>
      </w:r>
      <w:r w:rsidRPr="00BC09D8">
        <w:rPr>
          <w:rFonts w:eastAsia="宋体" w:hint="eastAsia"/>
          <w:highlight w:val="cyan"/>
        </w:rPr>
        <w:t>Table S</w:t>
      </w:r>
      <w:r w:rsidR="00BA50F7" w:rsidRPr="00BC09D8">
        <w:rPr>
          <w:rFonts w:eastAsia="宋体" w:hint="eastAsia"/>
          <w:highlight w:val="cyan"/>
        </w:rPr>
        <w:t>16</w:t>
      </w:r>
      <w:r>
        <w:rPr>
          <w:rFonts w:eastAsia="宋体" w:hint="eastAsia"/>
          <w:highlight w:val="yellow"/>
        </w:rPr>
        <w:t>)</w:t>
      </w:r>
      <w:r>
        <w:rPr>
          <w:rFonts w:eastAsia="宋体"/>
        </w:rPr>
        <w:t>. However, these broad pan-cancer associations likely reflect weak or heterogeneous age dependencies spread across multiple tumor types, rather than strong, tissue-specific age effects.</w:t>
      </w:r>
    </w:p>
    <w:p w14:paraId="0A09752B" w14:textId="77777777" w:rsidR="00B37B05" w:rsidRDefault="00000000">
      <w:pPr>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14:paraId="27E0AECA" w14:textId="77777777" w:rsidR="00B37B05" w:rsidRDefault="00B37B05">
      <w:pPr>
        <w:rPr>
          <w:rFonts w:eastAsia="宋体"/>
        </w:rPr>
      </w:pPr>
    </w:p>
    <w:p w14:paraId="719E4FC0" w14:textId="77777777" w:rsidR="00B37B05" w:rsidRDefault="00000000">
      <w:pPr>
        <w:pStyle w:val="Heading1"/>
      </w:pPr>
      <w:r>
        <w:t>Discussion</w:t>
      </w:r>
    </w:p>
    <w:p w14:paraId="616666D1" w14:textId="77777777" w:rsidR="00B37B05" w:rsidRDefault="00000000">
      <w:r>
        <w:t xml:space="preserve">Leveraging a novel nonparametric Bayesian framework, we conducted mutational signature analysis on over </w:t>
      </w:r>
      <w:r>
        <w:rPr>
          <w:rFonts w:hint="eastAsia"/>
        </w:rPr>
        <w:t>6,975</w:t>
      </w:r>
      <w:r>
        <w:t xml:space="preserve"> whole-genome tumor samples spanning </w:t>
      </w:r>
      <w:r>
        <w:rPr>
          <w:rFonts w:eastAsia="宋体" w:hint="eastAsia"/>
        </w:rPr>
        <w:t>32</w:t>
      </w:r>
      <w:r>
        <w:t xml:space="preserve"> cancer types from the PCAWG and HMF cohorts. As the first study to apply </w:t>
      </w:r>
      <w:r>
        <w:rPr>
          <w:rFonts w:eastAsia="宋体" w:hint="eastAsia"/>
        </w:rPr>
        <w:t>all indel</w:t>
      </w:r>
      <w:r>
        <w:t xml:space="preserve"> taxonomies</w:t>
      </w:r>
      <w:r>
        <w:rPr>
          <w:rFonts w:eastAsia="宋体" w:hint="eastAsia"/>
        </w:rPr>
        <w:t xml:space="preserve">, </w:t>
      </w:r>
      <w:r>
        <w:t xml:space="preserve">the 83-type and </w:t>
      </w:r>
      <w:r>
        <w:lastRenderedPageBreak/>
        <w:t>89-type</w:t>
      </w:r>
      <w:r>
        <w:rPr>
          <w:rFonts w:eastAsia="宋体" w:hint="eastAsia"/>
        </w:rPr>
        <w:t xml:space="preserve"> and 476-type,</w:t>
      </w:r>
      <w:r>
        <w:t xml:space="preserve"> to such a large dataset, we established a comprehensive catalog of 3</w:t>
      </w:r>
      <w:r>
        <w:rPr>
          <w:rFonts w:eastAsia="宋体" w:hint="eastAsia"/>
        </w:rPr>
        <w:t>4</w:t>
      </w:r>
      <w:r>
        <w:t xml:space="preserve"> 83-type and 4</w:t>
      </w:r>
      <w:r>
        <w:rPr>
          <w:rFonts w:eastAsia="宋体" w:hint="eastAsia"/>
        </w:rPr>
        <w:t>4</w:t>
      </w:r>
      <w:r>
        <w:t xml:space="preserve"> 89-type signatures, alongside a unified mapping system to facilitate cross-referencing of signatures between the two classifications. Notably, we discovered two novel indel signatures (ID_F and InsDel_F) associated with TOP1-TAM</w:t>
      </w:r>
      <w:r>
        <w:rPr>
          <w:rFonts w:eastAsia="宋体" w:hint="eastAsia"/>
        </w:rPr>
        <w:t xml:space="preserve"> by a de-novo extraction approach</w:t>
      </w:r>
      <w:r>
        <w:t>, and validated their biological relevance using published data from RNaseH2-deficient systems. Additionally, we identified several indel signatures—four 83-type and six 89-type—strongly associated with microsatellite instability (MSI), further elucidating the mutational footprints of defective MMR processes.</w:t>
      </w:r>
    </w:p>
    <w:p w14:paraId="308359AF" w14:textId="77777777" w:rsidR="00B37B05" w:rsidRDefault="00000000">
      <w: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14:paraId="3A146EC8" w14:textId="77777777" w:rsidR="00B37B05" w:rsidRDefault="00000000">
      <w:r>
        <w:t xml:space="preserve">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w:t>
      </w:r>
      <w:r>
        <w:lastRenderedPageBreak/>
        <w:t>genomic mutational processes.</w:t>
      </w:r>
      <w:r>
        <w:rPr>
          <w:rFonts w:hint="eastAsia"/>
        </w:rPr>
        <w:t xml:space="preserve"> </w:t>
      </w:r>
      <w:r>
        <w:t>Furthermore, we expect the development of mutational signatures as clinical biomarkers to enhance cancer diagnosis and treatment strategies.</w:t>
      </w:r>
      <w:bookmarkEnd w:id="0"/>
    </w:p>
    <w:p w14:paraId="3CEAD130" w14:textId="77777777" w:rsidR="00B37B05" w:rsidRDefault="00000000">
      <w:pPr>
        <w:pStyle w:val="Heading1"/>
      </w:pPr>
      <w:r>
        <w:t>Materials and methods</w:t>
      </w:r>
    </w:p>
    <w:p w14:paraId="1767F2CF" w14:textId="77777777" w:rsidR="00B37B05" w:rsidRDefault="00000000">
      <w:pPr>
        <w:pStyle w:val="Heading2"/>
      </w:pPr>
      <w:r>
        <w:t>Data sources</w:t>
      </w:r>
    </w:p>
    <w:p w14:paraId="09DAB6E9" w14:textId="77777777" w:rsidR="00B37B05" w:rsidRDefault="00000000">
      <w:pPr>
        <w:ind w:firstLineChars="200" w:firstLine="480"/>
      </w:pPr>
      <w:r>
        <w:t>Somatic indel calls from the ICGC/TCGA (International Cancer Genome Consortium/The Cancer Genome Atlas) Pan-Cancer Analysis of Whole Genomes Consortium and associated clinical characteristics were obtained from the ICGC data portal (</w:t>
      </w:r>
      <w:hyperlink r:id="rId19">
        <w:r>
          <w:rPr>
            <w:rStyle w:val="Hyperlink"/>
          </w:rPr>
          <w:t>https://dcc.icgc.org/releases/current/Projects/</w:t>
        </w:r>
      </w:hyperlink>
      <w:r>
        <w:t>, which has been retired. The data were downloaded on 9 May, 2024. Hartwig Medical Foundation</w:t>
      </w:r>
      <w:r>
        <w:rPr>
          <w:rFonts w:eastAsiaTheme="minorEastAsia"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of the </w:t>
      </w:r>
      <w:r>
        <w:rPr>
          <w:rFonts w:eastAsiaTheme="minorEastAsia" w:hint="eastAsia"/>
        </w:rPr>
        <w:t>Hartwig</w:t>
      </w:r>
      <w:r>
        <w:t xml:space="preserve"> genomes were found from supplementary files of </w:t>
      </w:r>
      <w:r>
        <w:rPr>
          <w:color w:val="000000"/>
        </w:rPr>
        <w:t>Priestley et al., 2019.</w:t>
      </w:r>
      <w:r>
        <w:t xml:space="preserve"> These data was also provided in Table S</w:t>
      </w:r>
      <w:r>
        <w:rPr>
          <w:rFonts w:hint="eastAsia"/>
        </w:rPr>
        <w:t>10 &lt;OF Prieslty&gt;</w:t>
      </w:r>
      <w: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color w:val="000000"/>
            </w:rPr>
            <w:t>(Sondka et al., 2018</w:t>
          </w:r>
          <w:r>
            <w:rPr>
              <w:rFonts w:hint="eastAsia"/>
              <w:color w:val="000000"/>
            </w:rPr>
            <w:t xml:space="preserve">, downloaded from </w:t>
          </w:r>
          <w:hyperlink r:id="rId20">
            <w:r>
              <w:rPr>
                <w:rStyle w:val="Hyperlink"/>
              </w:rPr>
              <w:t>https://cancer.sanger.ac.uk/cosmic/census?tier=1</w:t>
            </w:r>
          </w:hyperlink>
          <w:r>
            <w:rPr>
              <w:rFonts w:hint="eastAsia"/>
              <w:color w:val="000000"/>
            </w:rPr>
            <w:t xml:space="preserve"> on 9 Jun, 2024</w:t>
          </w:r>
          <w:r>
            <w:rPr>
              <w:color w:val="000000"/>
            </w:rPr>
            <w:t>)</w:t>
          </w:r>
        </w:sdtContent>
      </w:sdt>
      <w:r>
        <w:t>.</w:t>
      </w:r>
    </w:p>
    <w:p w14:paraId="26A7B59A" w14:textId="77777777" w:rsidR="00B37B05" w:rsidRDefault="00000000">
      <w:pPr>
        <w:pStyle w:val="Heading2"/>
      </w:pPr>
      <w:r>
        <w:rPr>
          <w:rFonts w:hint="eastAsia"/>
        </w:rPr>
        <w:t xml:space="preserve">De novo </w:t>
      </w:r>
      <w:r>
        <w:t>Mutational signature extraction</w:t>
      </w:r>
    </w:p>
    <w:p w14:paraId="0AEEAE30" w14:textId="77777777" w:rsidR="00B37B05" w:rsidRDefault="00000000">
      <w:pPr>
        <w:ind w:firstLineChars="200" w:firstLine="480"/>
        <w:rPr>
          <w:rFonts w:eastAsiaTheme="minorEastAsia"/>
        </w:rPr>
      </w:pPr>
      <w:r>
        <w:rPr>
          <w:rFonts w:eastAsiaTheme="minorEastAsia"/>
          <w:i/>
          <w:iCs/>
        </w:rPr>
        <w:t>De novo</w:t>
      </w:r>
      <w:r>
        <w:rPr>
          <w:rFonts w:eastAsiaTheme="minorEastAsia"/>
        </w:rPr>
        <w:t xml:space="preserve"> mutational signature extraction was performed using two complementary tools applied to the 83</w:t>
      </w:r>
      <w:r>
        <w:rPr>
          <w:rFonts w:eastAsiaTheme="minorEastAsia"/>
        </w:rPr>
        <w:noBreakHyphen/>
        <w:t>type, 89</w:t>
      </w:r>
      <w:r>
        <w:rPr>
          <w:rFonts w:eastAsiaTheme="minorEastAsia"/>
        </w:rPr>
        <w:noBreakHyphen/>
        <w:t>type, and 476</w:t>
      </w:r>
      <w:r>
        <w:rPr>
          <w:rFonts w:eastAsiaTheme="minorEastAsia"/>
        </w:rPr>
        <w:noBreakHyphen/>
        <w:t>type mutational spectra.</w:t>
      </w:r>
    </w:p>
    <w:p w14:paraId="019D27BB" w14:textId="77777777" w:rsidR="00B37B05" w:rsidRDefault="00000000">
      <w:pPr>
        <w:ind w:firstLineChars="200" w:firstLine="480"/>
        <w:rPr>
          <w:rFonts w:eastAsiaTheme="minorEastAsia"/>
        </w:rPr>
      </w:pPr>
      <w:r>
        <w:rPr>
          <w:rFonts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Theme="minorEastAsia"/>
        </w:rPr>
        <w:noBreakHyphen/>
        <w:t xml:space="preserve">layer hierarchical Dirichlet process (HDP) mixture </w:t>
      </w:r>
      <w:r>
        <w:rPr>
          <w:rFonts w:eastAsiaTheme="minorEastAsia"/>
        </w:rPr>
        <w:lastRenderedPageBreak/>
        <w:t>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14:paraId="0509DE92" w14:textId="77777777" w:rsidR="00B37B05" w:rsidRDefault="00000000">
      <w:pPr>
        <w:ind w:firstLineChars="200" w:firstLine="480"/>
        <w:rPr>
          <w:rFonts w:eastAsiaTheme="minorEastAsia"/>
        </w:rPr>
      </w:pPr>
      <w:r>
        <w:rPr>
          <w:rFonts w:eastAsiaTheme="minorEastAsia"/>
        </w:rPr>
        <w:t xml:space="preserve">In parallel, de novo mutational signatures were extracted using </w:t>
      </w:r>
      <w:r>
        <w:rPr>
          <w:rFonts w:eastAsiaTheme="minorEastAsia" w:hint="eastAsia"/>
        </w:rPr>
        <w:t xml:space="preserve">the Non-negative matrix factorization based approach (NMF), </w:t>
      </w:r>
      <w:r>
        <w:rPr>
          <w:rFonts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w:t>
      </w:r>
      <w:r>
        <w:rPr>
          <w:rFonts w:eastAsiaTheme="minorEastAsia"/>
          <w:shd w:val="clear" w:color="auto" w:fill="FFFF00"/>
        </w:rPr>
        <w:t>Table S</w:t>
      </w:r>
      <w:r>
        <w:rPr>
          <w:rFonts w:eastAsiaTheme="minorEastAsia"/>
        </w:rPr>
        <w:t>).</w:t>
      </w:r>
    </w:p>
    <w:p w14:paraId="66AC2BE7" w14:textId="77777777" w:rsidR="00B37B05" w:rsidRDefault="00000000">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14:paraId="761D3056" w14:textId="77777777" w:rsidR="00B37B05" w:rsidRDefault="00000000">
      <w:pPr>
        <w:ind w:firstLineChars="200" w:firstLine="480"/>
        <w:rPr>
          <w:rFonts w:eastAsiaTheme="minorEastAsia"/>
        </w:rPr>
      </w:pPr>
      <w:r>
        <w:rPr>
          <w:rFonts w:eastAsiaTheme="minorEastAsia" w:hint="eastAsia"/>
        </w:rPr>
        <w:t xml:space="preserve">For 83-type signatures, the signatures were matched to previously identified COSMIC signatures (v3.5, </w:t>
      </w:r>
      <w:hyperlink r:id="rId21">
        <w:r>
          <w:rPr>
            <w:rStyle w:val="Hyperlink"/>
            <w:rFonts w:eastAsiaTheme="minorEastAsia"/>
          </w:rPr>
          <w:t>https://cancer.sanger.ac.uk/signatures/id/</w:t>
        </w:r>
      </w:hyperlink>
      <w:r>
        <w:rPr>
          <w:rFonts w:eastAsiaTheme="minorEastAsia" w:hint="eastAsia"/>
        </w:rPr>
        <w:t>). For 89-type signatures, the signatures supported by both mSigHdp and SigProfilerExtractor were matched to the signatures reported in Koh et al. A detailed comparison can be found at Table 1.</w:t>
      </w:r>
    </w:p>
    <w:p w14:paraId="58D45804" w14:textId="77777777" w:rsidR="00B37B05" w:rsidRDefault="00000000">
      <w:pPr>
        <w:ind w:firstLineChars="200" w:firstLine="480"/>
        <w:rPr>
          <w:rFonts w:eastAsiaTheme="minorEastAsia"/>
        </w:rPr>
      </w:pPr>
      <w:r>
        <w:t xml:space="preserve">We compared all </w:t>
      </w:r>
      <w:r>
        <w:rPr>
          <w:i/>
          <w:iCs/>
        </w:rPr>
        <w:t>de novo</w:t>
      </w:r>
      <w:r>
        <w:t xml:space="preserve"> signatures </w:t>
      </w:r>
      <w:r>
        <w:rPr>
          <w:rFonts w:eastAsiaTheme="minorEastAsia" w:hint="eastAsia"/>
        </w:rPr>
        <w:t xml:space="preserve">supported by both mSigHdp and SigProfilerExtractor </w:t>
      </w:r>
      <w:r>
        <w:t xml:space="preserve">to </w:t>
      </w:r>
      <w:r>
        <w:rPr>
          <w:rFonts w:eastAsiaTheme="minorEastAsia" w:hint="eastAsia"/>
        </w:rPr>
        <w:t>the published</w:t>
      </w:r>
      <w:r>
        <w:t xml:space="preserve"> signatures and categorized them into three groups: (1) known signature: if</w:t>
      </w:r>
      <w:r>
        <w:rPr>
          <w:rFonts w:eastAsiaTheme="minorEastAsia" w:hint="eastAsia"/>
        </w:rPr>
        <w:t xml:space="preserve"> an extracted</w:t>
      </w:r>
      <w:r>
        <w:t xml:space="preserve"> signature has a cosine similarity of ≥ 0.</w:t>
      </w:r>
      <w:r>
        <w:rPr>
          <w:rFonts w:hint="eastAsia"/>
        </w:rPr>
        <w:t>85</w:t>
      </w:r>
      <w:r>
        <w:t xml:space="preserve"> with a COSMIC signature; (2) merged </w:t>
      </w:r>
      <w:r>
        <w:lastRenderedPageBreak/>
        <w:t xml:space="preserve">signatures: if </w:t>
      </w:r>
      <w:r>
        <w:rPr>
          <w:rFonts w:eastAsiaTheme="minorEastAsia"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Theme="minorEastAsia" w:hint="eastAsia"/>
        </w:rPr>
        <w:t xml:space="preserve">extracted </w:t>
      </w:r>
      <w:r>
        <w:t xml:space="preserve">signatures do not fit into the known signatures or the merged signatures. </w:t>
      </w:r>
      <w:r>
        <w:rPr>
          <w:rFonts w:eastAsiaTheme="minorEastAsia" w:hint="eastAsia"/>
        </w:rPr>
        <w:t>We focused on (1) and (3) in this study.</w:t>
      </w:r>
    </w:p>
    <w:p w14:paraId="65416632" w14:textId="77777777" w:rsidR="00B37B05" w:rsidRDefault="00000000">
      <w:pPr>
        <w:pStyle w:val="Heading2"/>
        <w:rPr>
          <w:rFonts w:eastAsia="宋体"/>
        </w:rPr>
      </w:pPr>
      <w:r>
        <w:rPr>
          <w:rFonts w:eastAsia="宋体" w:hint="eastAsia"/>
        </w:rPr>
        <w:t>Assignment of signature activity to each individual genome</w:t>
      </w:r>
    </w:p>
    <w:p w14:paraId="18FA76B7" w14:textId="77777777" w:rsidR="00B37B05" w:rsidRDefault="00000000">
      <w:pPr>
        <w:pStyle w:val="normalfirst"/>
        <w:ind w:firstLineChars="200" w:firstLine="480"/>
      </w:pPr>
      <w:r>
        <w:rPr>
          <w:rFonts w:eastAsia="宋体"/>
          <w:shd w:val="clear" w:color="auto" w:fill="FFFF00"/>
        </w:rPr>
        <w:t xml:space="preserve">&lt;MOVED FROM RESULTS&gt; </w:t>
      </w:r>
      <w:r>
        <w:rPr>
          <w:rFonts w:eastAsia="宋体"/>
        </w:rPr>
        <w:t>T</w:t>
      </w:r>
      <w:commentRangeStart w:id="21"/>
      <w:r>
        <w:rPr>
          <w:rFonts w:eastAsia="宋体"/>
        </w:rPr>
        <w: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w:t>
      </w:r>
      <w:r>
        <w:rPr>
          <w:rFonts w:eastAsia="宋体" w:hint="eastAsia"/>
        </w:rPr>
        <w:t>5</w:t>
      </w:r>
      <w:r>
        <w:rPr>
          <w:rFonts w:eastAsia="宋体"/>
        </w:rPr>
        <w:t>0% of the mutations</w:t>
      </w:r>
      <w:r>
        <w:rPr>
          <w:rFonts w:eastAsia="宋体" w:hint="eastAsia"/>
        </w:rPr>
        <w:t xml:space="preserve"> (Table SX)</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t>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commentRangeEnd w:id="21"/>
      <w:r>
        <w:rPr>
          <w:rStyle w:val="CommentReference"/>
          <w:rFonts w:eastAsia="宋体" w:hint="eastAsia"/>
          <w:sz w:val="24"/>
          <w:szCs w:val="24"/>
        </w:rPr>
        <w:commentReference w:id="21"/>
      </w:r>
      <w:r>
        <w:rPr>
          <w:rFonts w:eastAsia="宋体" w:hint="eastAsia"/>
        </w:rPr>
        <w:t>.</w:t>
      </w:r>
    </w:p>
    <w:p w14:paraId="5BA90932" w14:textId="77777777" w:rsidR="00B37B05" w:rsidRDefault="00000000">
      <w:pPr>
        <w:pStyle w:val="normalfirst"/>
        <w:ind w:firstLineChars="200" w:firstLine="480"/>
      </w:pPr>
      <w:commentRangeStart w:id="22"/>
      <w:r>
        <w:t>The 83-type indel spectra are frequently dominated by 1</w:t>
      </w:r>
      <w:r>
        <w:noBreakHyphen/>
        <w:t>bp T insertions and deletions at poly</w:t>
      </w:r>
      <w:r>
        <w:noBreakHyphen/>
        <w:t>T tracts (≥5 consecutive T’s), which can obscure the contribution of other indel types during signature assignment. To mitigate this interference, we implemented a three</w:t>
      </w:r>
      <w:r>
        <w:noBreakHyphen/>
        <w:t>step deconvolution strategy:</w:t>
      </w:r>
      <w:r>
        <w:rPr>
          <w:rFonts w:hint="eastAsia"/>
        </w:rPr>
        <w:t xml:space="preserve"> </w:t>
      </w:r>
      <w:r>
        <w:t>(1) We constructed “ablated” spectra and an “ablated” signature matrix by removing the two poly</w:t>
      </w:r>
      <w:r>
        <w:noBreakHyphen/>
        <w:t xml:space="preserve">T peaks from both the observed spectrum and the reference signatures, explicitly excluding C_ID1 and C_ID2. Signature fitting was then performed on these ablated </w:t>
      </w:r>
      <w:r>
        <w:lastRenderedPageBreak/>
        <w:t>inputs using the two</w:t>
      </w:r>
      <w:r>
        <w:noBreakHyphen/>
        <w:t>step pipeline</w:t>
      </w:r>
      <w:r>
        <w:rPr>
          <w:rFonts w:hint="eastAsia"/>
        </w:rPr>
        <w:t xml:space="preserve"> described above</w:t>
      </w:r>
      <w:r>
        <w:t>, yielding activity estimates for all non</w:t>
      </w:r>
      <w:r>
        <w:noBreakHyphen/>
        <w:t>poly</w:t>
      </w:r>
      <w:r>
        <w:noBreakHyphen/>
        <w:t>T components</w:t>
      </w:r>
      <w:r>
        <w:rPr>
          <w:rFonts w:hint="eastAsia"/>
        </w:rPr>
        <w:t xml:space="preserve">; </w:t>
      </w:r>
      <w:r>
        <w:t>(2) Using this ablated assignment and the full (unablated) signature matrix, we reconstructed a “predicted spectrum”</w:t>
      </w:r>
      <w:r>
        <w:rPr>
          <w:rFonts w:hint="eastAsia"/>
        </w:rPr>
        <w:t xml:space="preserve">; </w:t>
      </w:r>
      <w:r>
        <w:t>(3) The residual</w:t>
      </w:r>
      <w:r>
        <w:rPr>
          <w:rFonts w:hint="eastAsia"/>
        </w:rPr>
        <w:t xml:space="preserve">, </w:t>
      </w:r>
      <w:r>
        <w:t>defined as the difference between the original observed spectrum and the “predicted spectrum”</w:t>
      </w:r>
      <w:r>
        <w:rPr>
          <w:rFonts w:hint="eastAsia"/>
        </w:rPr>
        <w:t xml:space="preserve">, </w:t>
      </w:r>
      <w:r>
        <w:t>was truncated at zero (i.e., all negative values were set to 0) to enforce non</w:t>
      </w:r>
      <w:r>
        <w:noBreakHyphen/>
        <w:t>negative contributions. Only the two poly</w:t>
      </w:r>
      <w:r>
        <w:noBreakHyphen/>
        <w:t>T components of this corrected residual were retained and allocated to C_ID1 and C_ID2 in proportion to their relative signature weights.</w:t>
      </w:r>
      <w:commentRangeEnd w:id="22"/>
      <w:r>
        <w:rPr>
          <w:rStyle w:val="CommentReference"/>
          <w:sz w:val="24"/>
          <w:szCs w:val="24"/>
        </w:rPr>
        <w:commentReference w:id="22"/>
      </w:r>
    </w:p>
    <w:p w14:paraId="7ED29E46" w14:textId="77777777" w:rsidR="00B37B05" w:rsidRDefault="00000000">
      <w:pPr>
        <w:pStyle w:val="normalfirst"/>
      </w:pPr>
      <w:r>
        <w:rPr>
          <w:rFonts w:hint="eastAsia"/>
        </w:rPr>
        <w:t xml:space="preserve"> </w:t>
      </w:r>
    </w:p>
    <w:p w14:paraId="710EDED5" w14:textId="77777777" w:rsidR="00B37B05" w:rsidRDefault="00000000">
      <w:pPr>
        <w:pStyle w:val="Heading2"/>
        <w:rPr>
          <w:rFonts w:eastAsia="宋体"/>
        </w:rPr>
      </w:pPr>
      <w:r>
        <w:rPr>
          <w:rFonts w:eastAsia="宋体"/>
        </w:rPr>
        <w:t>Simulating synthetic cancer datasets</w:t>
      </w:r>
    </w:p>
    <w:p w14:paraId="628797E0" w14:textId="77777777" w:rsidR="00B37B05"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22">
        <w:r>
          <w:rPr>
            <w:rStyle w:val="Hyperlink"/>
          </w:rPr>
          <w:t>https://bmcbioinformatics.biomedcentral.com/articles/10.1186/s12859-020-03772-3</w:t>
        </w:r>
      </w:hyperlink>
      <w:r>
        <w:t xml:space="preserve">). </w:t>
      </w:r>
    </w:p>
    <w:p w14:paraId="06DA4804" w14:textId="77777777" w:rsidR="00B37B05" w:rsidRDefault="00000000">
      <w:pPr>
        <w:pStyle w:val="Heading2"/>
        <w:rPr>
          <w:rFonts w:eastAsia="宋体"/>
        </w:rPr>
      </w:pPr>
      <w:r>
        <w:rPr>
          <w:rFonts w:eastAsia="宋体"/>
        </w:rPr>
        <w:t>Annotating somatic indels based on transcribed versus un-transcribed strand</w:t>
      </w:r>
    </w:p>
    <w:p w14:paraId="7F097A8C" w14:textId="77777777" w:rsidR="00B37B05" w:rsidRDefault="00000000">
      <w:pPr>
        <w:ind w:firstLine="0"/>
      </w:pPr>
      <w:r>
        <w:t>We followed the method in (</w:t>
      </w:r>
      <w:hyperlink r:id="rId23">
        <w:r>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29AF366F" w14:textId="77777777" w:rsidR="00B37B05" w:rsidRDefault="00000000">
      <w:pPr>
        <w:pStyle w:val="Heading2"/>
        <w:rPr>
          <w:rFonts w:eastAsia="宋体"/>
        </w:rPr>
      </w:pPr>
      <w:r>
        <w:rPr>
          <w:rFonts w:eastAsia="宋体"/>
        </w:rPr>
        <w:lastRenderedPageBreak/>
        <w:t>Annotating somatic indels based on leading versus lagging replication strand</w:t>
      </w:r>
    </w:p>
    <w:p w14:paraId="41C8179E" w14:textId="77777777" w:rsidR="00B37B05" w:rsidRDefault="00000000">
      <w:r>
        <w:t>Replication strand was determined by wavelet-smoothed replication-timing signal data that indicated both “valleys” (replication termination zones) and “peaks” (replication initiation zones) (</w:t>
      </w:r>
      <w:hyperlink r:id="rId24">
        <w:r>
          <w:rPr>
            <w:rStyle w:val="Hyperlink"/>
          </w:rPr>
          <w:t>https://hgdownload.cse.ucsc.edu/goldenPath/hg19/encodeDCC/wgEncodeUwRepliSeq/</w:t>
        </w:r>
      </w:hyperlink>
      <w: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343ED354" w14:textId="77777777" w:rsidR="00B37B05" w:rsidRDefault="00000000">
      <w:pPr>
        <w:pStyle w:val="Heading2"/>
        <w:rPr>
          <w:rFonts w:eastAsia="宋体"/>
        </w:rPr>
      </w:pPr>
      <w:r>
        <w:rPr>
          <w:rFonts w:eastAsia="宋体"/>
        </w:rPr>
        <w:t>Detecting strand asymmetries across cancer types</w:t>
      </w:r>
    </w:p>
    <w:p w14:paraId="693E0991" w14:textId="77777777" w:rsidR="00B37B05"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0C01E788" w14:textId="77777777" w:rsidR="00B37B05" w:rsidRDefault="00000000">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w:t>
      </w:r>
      <w:r>
        <w:lastRenderedPageBreak/>
        <w:t>un-transcribed strand vs transcribed strand mutation). The two types were denoted as +/- strand mutations strand mutations in all three cases. The ratio of real somatic indels and the ratio of simulated somatic indels was calculated separately:</w:t>
      </w:r>
    </w:p>
    <w:p w14:paraId="401BF671" w14:textId="77777777" w:rsidR="00B37B05" w:rsidRDefault="00B37B05">
      <w:pPr>
        <w:rPr>
          <w:i/>
        </w:rPr>
      </w:pPr>
    </w:p>
    <w:p w14:paraId="0BCA2312" w14:textId="77777777" w:rsidR="00B37B05" w:rsidRDefault="00B37B05"/>
    <w:p w14:paraId="64B03118" w14:textId="77777777" w:rsidR="00B37B05" w:rsidRDefault="00000000">
      <w:r>
        <w:t>Odds ratio between the ratio of real somatic indels and the ratio of simulated somatic indels was calculated:</w:t>
      </w:r>
    </w:p>
    <w:p w14:paraId="56585177" w14:textId="77777777" w:rsidR="00B37B05" w:rsidRDefault="00B37B05"/>
    <w:p w14:paraId="153A23B7" w14:textId="77777777" w:rsidR="00B37B05" w:rsidRDefault="00000000">
      <w:r>
        <w:t>p values were calculated for the odds ratio using Fisher’s exact test. Only strand asymmetries with p value &gt; 0.05 were considered showing strand asymmetries.</w:t>
      </w:r>
    </w:p>
    <w:p w14:paraId="7278E304" w14:textId="77777777" w:rsidR="00B37B05" w:rsidRDefault="00000000">
      <w:pPr>
        <w:pStyle w:val="Heading2"/>
        <w:rPr>
          <w:rFonts w:eastAsia="宋体"/>
        </w:rPr>
      </w:pPr>
      <w:r>
        <w:rPr>
          <w:rFonts w:eastAsia="宋体"/>
        </w:rPr>
        <w:t>Analyses of replication timing across cancer types</w:t>
      </w:r>
    </w:p>
    <w:p w14:paraId="22AA11DB" w14:textId="77777777" w:rsidR="00B37B05" w:rsidRDefault="00000000">
      <w:r>
        <w:t>Replication timing data were obtained from (</w:t>
      </w:r>
      <w:hyperlink r:id="rId25">
        <w:r>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717BCCB5" w14:textId="77777777" w:rsidR="00B37B05" w:rsidRDefault="00000000">
      <w: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lastRenderedPageBreak/>
        <w:t>R(X</w:t>
      </w:r>
      <w:r>
        <w:rPr>
          <w:vertAlign w:val="subscript"/>
        </w:rPr>
        <w:t>1</w:t>
      </w:r>
      <w:r>
        <w:t>, X</w:t>
      </w:r>
      <w:r>
        <w:rPr>
          <w:vertAlign w:val="subscript"/>
        </w:rPr>
        <w:t>2</w:t>
      </w:r>
      <w:r>
        <w:t>, X</w:t>
      </w:r>
      <w:r>
        <w:rPr>
          <w:vertAlign w:val="subscript"/>
        </w:rPr>
        <w:t>3</w:t>
      </w:r>
      <w:r>
        <w:t>, … X</w:t>
      </w:r>
      <w:r>
        <w:rPr>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p>
    <w:p w14:paraId="356926E7" w14:textId="77777777" w:rsidR="00B37B05" w:rsidRDefault="00000000">
      <w:pPr>
        <w:rPr>
          <w:shd w:val="clear" w:color="auto" w:fill="FFFF00"/>
        </w:rPr>
      </w:pPr>
      <w:r>
        <w:rPr>
          <w:shd w:val="clear" w:color="auto" w:fill="FFFF00"/>
        </w:rPr>
        <w:t>&lt;MISSING EQUATIONS HERE&gt;</w:t>
      </w:r>
    </w:p>
    <w:p w14:paraId="1E063C2B" w14:textId="77777777" w:rsidR="00B37B05" w:rsidRDefault="00B37B05"/>
    <w:p w14:paraId="703F05B3" w14:textId="77777777" w:rsidR="00B37B05" w:rsidRDefault="00000000">
      <w:r>
        <w:t>In the above formula, replication timing denotes a vector c(1,2,3 … 10).</w:t>
      </w:r>
    </w:p>
    <w:p w14:paraId="3CCA9A31" w14:textId="77777777" w:rsidR="00B37B05" w:rsidRDefault="00000000">
      <w:r>
        <w:t xml:space="preserve">The replication timing trend for </w:t>
      </w:r>
      <w:r>
        <w:rPr>
          <w:rFonts w:eastAsiaTheme="minorEastAsia" w:hint="eastAsia"/>
        </w:rPr>
        <w:t xml:space="preserve">an 83-type </w:t>
      </w:r>
      <w:r>
        <w:t xml:space="preserve">signature was determined for both real and simulated data. An </w:t>
      </w:r>
      <w:r>
        <w:rPr>
          <w:rFonts w:eastAsiaTheme="minorEastAsia"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438A0E83" w14:textId="77777777" w:rsidR="00B37B05" w:rsidRDefault="00000000">
      <w:pPr>
        <w:rPr>
          <w:rFonts w:eastAsia="宋体"/>
        </w:rPr>
      </w:pPr>
      <w:r>
        <w:t xml:space="preserve">If the trends of a certain </w:t>
      </w:r>
      <w:r>
        <w:rPr>
          <w:rFonts w:eastAsiaTheme="minorEastAsia" w:hint="eastAsia"/>
        </w:rPr>
        <w:t>83-type</w:t>
      </w:r>
      <w:r>
        <w:t xml:space="preserve"> signature for the two dataset (real and simulated data) were different, the relative trend for real data comparing the simulated data was the final trend for the </w:t>
      </w:r>
      <w:r>
        <w:rPr>
          <w:rFonts w:eastAsiaTheme="minorEastAsia" w:hint="eastAsia"/>
        </w:rPr>
        <w:t>83-type</w:t>
      </w:r>
      <w:r>
        <w:t xml:space="preserve"> signature. Otherwise, if the trends of a certain </w:t>
      </w:r>
      <w:r>
        <w:rPr>
          <w:rFonts w:eastAsiaTheme="minorEastAsia" w:hint="eastAsia"/>
        </w:rPr>
        <w:t>83-type</w:t>
      </w:r>
      <w:r>
        <w:t xml:space="preserve"> signature for the two dataset were the same, a third multiple linear regression model was fitted. </w:t>
      </w:r>
    </w:p>
    <w:p w14:paraId="225B80B9" w14:textId="77777777" w:rsidR="00B37B05" w:rsidRDefault="00B37B05">
      <w:pPr>
        <w:rPr>
          <w:rFonts w:eastAsia="宋体"/>
        </w:rPr>
      </w:pPr>
    </w:p>
    <w:p w14:paraId="2B65F779" w14:textId="77777777" w:rsidR="00B37B05" w:rsidRDefault="00000000">
      <w:pPr>
        <w:rPr>
          <w:rFonts w:eastAsia="宋体"/>
        </w:rPr>
      </w:pPr>
      <w:r>
        <w:t xml:space="preserve">Similarly, the final trend of an </w:t>
      </w:r>
      <w:r>
        <w:rPr>
          <w:rFonts w:eastAsiaTheme="minorEastAsia" w:hint="eastAsia"/>
        </w:rPr>
        <w:t>83-type</w:t>
      </w:r>
      <w:r>
        <w:t xml:space="preserve"> signature were determined by the significance of the coefficient of replication timing. If it is not significant, an </w:t>
      </w:r>
      <w:r>
        <w:rPr>
          <w:rFonts w:eastAsiaTheme="minorEastAsia" w:hint="eastAsia"/>
        </w:rPr>
        <w:t>83-type</w:t>
      </w:r>
      <w:r>
        <w:t xml:space="preserve"> signature was considered to be generally unaffected by replication timing. Otherwise, if the coefficient of replication timing &gt; 0, an </w:t>
      </w:r>
      <w:r>
        <w:rPr>
          <w:rFonts w:eastAsiaTheme="minorEastAsia" w:hint="eastAsia"/>
        </w:rPr>
        <w:t>83-type</w:t>
      </w:r>
      <w:r>
        <w:t xml:space="preserve"> signature was considered to be increasing from early to late replicating </w:t>
      </w:r>
      <w:r>
        <w:lastRenderedPageBreak/>
        <w:t xml:space="preserve">regions; if the coefficient of replication timing &lt; 0, an </w:t>
      </w:r>
      <w:r>
        <w:rPr>
          <w:rFonts w:eastAsiaTheme="minorEastAsia" w:hint="eastAsia"/>
        </w:rPr>
        <w:t>83-type</w:t>
      </w:r>
      <w:r>
        <w:t xml:space="preserve"> signature was considered to be decreasing from early to late replicating regions.</w:t>
      </w:r>
    </w:p>
    <w:p w14:paraId="01D3B4A1" w14:textId="77777777" w:rsidR="00B37B05" w:rsidRDefault="00000000">
      <w:pPr>
        <w:rPr>
          <w:rFonts w:eastAsiaTheme="minorEastAsia"/>
        </w:rPr>
      </w:pPr>
      <w:r>
        <w:rPr>
          <w:rFonts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31C52588" w14:textId="77777777" w:rsidR="00B37B05" w:rsidRDefault="00000000">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14:paraId="733DB037" w14:textId="77777777" w:rsidR="00B37B05" w:rsidRDefault="00000000">
      <w:pPr>
        <w:rPr>
          <w:color w:val="000000"/>
        </w:rPr>
      </w:pPr>
      <w:r>
        <w:t>For PCAWG genomes, the MSI</w:t>
      </w:r>
      <w:r>
        <w:rPr>
          <w:rFonts w:eastAsiaTheme="minorEastAsia" w:hint="eastAsia"/>
        </w:rPr>
        <w:t xml:space="preserve"> (microsatellite instability)</w:t>
      </w:r>
      <w:r>
        <w:t xml:space="preserve"> status was evaluated by the PCAWG working group and obtained from the synapse repository (</w:t>
      </w:r>
      <w:hyperlink r:id="rId26" w:anchor="!Synapse:syn8016399" w:history="1">
        <w:r>
          <w:rPr>
            <w:rStyle w:val="Hyperlink"/>
          </w:rPr>
          <w:t>https://www.synapse.org/#!Synapse:syn8016399</w:t>
        </w:r>
      </w:hyperlink>
      <w:r>
        <w:rPr>
          <w:rFonts w:hint="eastAsia"/>
        </w:rPr>
        <w:t>, the data was downloaded on May 2022</w:t>
      </w:r>
      <w:r>
        <w:t xml:space="preserve">). For </w:t>
      </w:r>
      <w:r>
        <w:rPr>
          <w:rFonts w:eastAsiaTheme="minorEastAsia"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14:paraId="209E2EB6" w14:textId="77777777" w:rsidR="00B37B05" w:rsidRDefault="00000000">
      <w:pPr>
        <w:pStyle w:val="Heading2"/>
        <w:rPr>
          <w:rFonts w:eastAsia="宋体"/>
        </w:rPr>
      </w:pPr>
      <w:r>
        <w:rPr>
          <w:rFonts w:eastAsia="宋体"/>
        </w:rPr>
        <w:t>Extended sequence context</w:t>
      </w:r>
      <w:r>
        <w:rPr>
          <w:rFonts w:eastAsia="宋体" w:hint="eastAsia"/>
        </w:rPr>
        <w:t xml:space="preserve"> analysis</w:t>
      </w:r>
    </w:p>
    <w:p w14:paraId="6F72B1FD" w14:textId="77777777" w:rsidR="00B37B05"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1E2327C1" w14:textId="77777777" w:rsidR="00B37B05" w:rsidRDefault="00B37B05">
      <w:pPr>
        <w:pStyle w:val="Heading1"/>
      </w:pPr>
    </w:p>
    <w:p w14:paraId="45B8DFDE" w14:textId="77777777" w:rsidR="00B37B05" w:rsidRDefault="00000000">
      <w:pPr>
        <w:pStyle w:val="Heading1"/>
      </w:pPr>
      <w:r>
        <w:rPr>
          <w:rFonts w:hint="eastAsia"/>
        </w:rPr>
        <w:t>Funding</w:t>
      </w:r>
    </w:p>
    <w:p w14:paraId="60712FCC" w14:textId="77777777" w:rsidR="00B37B05"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hint="eastAsia"/>
          <w:color w:val="000000"/>
        </w:rPr>
        <w:t xml:space="preserve">(Grant No. </w:t>
      </w:r>
      <w:r>
        <w:rPr>
          <w:color w:val="000000"/>
        </w:rPr>
        <w:t>2026A1515010445</w:t>
      </w:r>
      <w:r>
        <w:rPr>
          <w:rFonts w:hint="eastAsia"/>
          <w:color w:val="000000"/>
        </w:rPr>
        <w:t xml:space="preserve">), </w:t>
      </w:r>
      <w:r>
        <w:rPr>
          <w:color w:val="000000"/>
        </w:rPr>
        <w:t xml:space="preserve">International Science and Technology Innovation Cooperation between Governments for National Key R&amp;D Program Projects </w:t>
      </w:r>
      <w:r>
        <w:rPr>
          <w:rFonts w:hint="eastAsia"/>
          <w:color w:val="000000"/>
        </w:rPr>
        <w:t>(</w:t>
      </w:r>
      <w:r>
        <w:rPr>
          <w:color w:val="000000"/>
        </w:rPr>
        <w:t>2023YFE0107700</w:t>
      </w:r>
      <w:r>
        <w:rPr>
          <w:rFonts w:hint="eastAsia"/>
          <w:color w:val="000000"/>
        </w:rPr>
        <w:t>), Guangzhou Municipal Science</w:t>
      </w:r>
      <w:r>
        <w:rPr>
          <w:rFonts w:hint="eastAsia"/>
        </w:rPr>
        <w:t xml:space="preserve"> and Technology Bureau (</w:t>
      </w:r>
      <w:r>
        <w:t>2025A04J4304</w:t>
      </w:r>
      <w:r>
        <w:rPr>
          <w:rFonts w:hint="eastAsia"/>
        </w:rPr>
        <w:t xml:space="preserve">), </w:t>
      </w:r>
      <w:r>
        <w:t xml:space="preserve">Shenzhen Science and Technology Innovation Program </w:t>
      </w:r>
      <w:r>
        <w:rPr>
          <w:rFonts w:ascii="宋体" w:eastAsia="宋体" w:hAnsi="宋体" w:cs="宋体" w:hint="eastAsia"/>
        </w:rPr>
        <w:t>(</w:t>
      </w:r>
      <w:r>
        <w:t>JCYJ20250604174809012</w:t>
      </w:r>
      <w:r>
        <w:rPr>
          <w:rFonts w:eastAsia="宋体" w:hint="eastAsia"/>
        </w:rPr>
        <w:t>)</w:t>
      </w:r>
      <w:r>
        <w:rPr>
          <w:rFonts w:hint="eastAsia"/>
        </w:rPr>
        <w:t>.</w:t>
      </w:r>
      <w:r>
        <w:rPr>
          <w:rFonts w:hint="eastAsia"/>
          <w:color w:val="000000"/>
        </w:rPr>
        <w:t xml:space="preserve"> </w:t>
      </w:r>
    </w:p>
    <w:p w14:paraId="71439161" w14:textId="77777777" w:rsidR="00B37B05" w:rsidRDefault="00000000">
      <w:pPr>
        <w:pStyle w:val="Heading1"/>
      </w:pPr>
      <w:r>
        <w:rPr>
          <w:rFonts w:hint="eastAsia"/>
        </w:rPr>
        <w:t>Author contributions</w:t>
      </w:r>
    </w:p>
    <w:p w14:paraId="482D2223" w14:textId="77777777" w:rsidR="00B37B05" w:rsidRDefault="00000000">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t>Data interpretation and manuscript write-up were carried out by M.L., M.H., and S.G.R., with contributions from all other authors. All authors reviewed and approved the final manuscript.</w:t>
      </w:r>
    </w:p>
    <w:p w14:paraId="068361C6" w14:textId="77777777" w:rsidR="00B37B05" w:rsidRDefault="00000000">
      <w:pPr>
        <w:pStyle w:val="Heading1"/>
      </w:pPr>
      <w:r>
        <w:t>Reference</w:t>
      </w:r>
    </w:p>
    <w:p w14:paraId="794AA039" w14:textId="77777777" w:rsidR="00B37B05" w:rsidRDefault="00000000">
      <w:pPr>
        <w:pStyle w:val="Bibliography1"/>
      </w:pPr>
      <w:bookmarkStart w:id="23"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3EF1ACDC" w14:textId="77777777" w:rsidR="00B37B05" w:rsidRDefault="00000000">
      <w:pPr>
        <w:pStyle w:val="Bibliography1"/>
      </w:pPr>
      <w:r>
        <w:lastRenderedPageBreak/>
        <w:t xml:space="preserve">Alexandrov, Ludmil B., Jaegil Kim, Nicholas J. Haradhvala, et al. 2020. ‘The Repertoire of Mutational Signatures in Human Cancer’. </w:t>
      </w:r>
      <w:r>
        <w:rPr>
          <w:i/>
        </w:rPr>
        <w:t>Nature</w:t>
      </w:r>
      <w:r>
        <w:t xml:space="preserve"> 578 (7793): 94–101. https://doi.org/10.1038/s41586-020-1943-3.</w:t>
      </w:r>
    </w:p>
    <w:p w14:paraId="58813B07" w14:textId="77777777" w:rsidR="00B37B05"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70C263D7" w14:textId="77777777" w:rsidR="00B37B05" w:rsidRDefault="00000000">
      <w:pPr>
        <w:pStyle w:val="Bibliography1"/>
      </w:pPr>
      <w:r>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6C7D2950" w14:textId="77777777" w:rsidR="00B37B05" w:rsidRDefault="00000000">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18A6C5CB" w14:textId="77777777" w:rsidR="00B37B05" w:rsidRDefault="00000000">
      <w:pPr>
        <w:pStyle w:val="Bibliography1"/>
      </w:pPr>
      <w:r>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50FECD98" w14:textId="77777777" w:rsidR="00B37B05" w:rsidRDefault="00000000">
      <w:pPr>
        <w:pStyle w:val="Bibliography1"/>
      </w:pPr>
      <w:r>
        <w:t xml:space="preserve">Caipa Garcia, Angela L., Jill E. Kucab, Halh Al-Serori,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5A2219AF" w14:textId="77777777" w:rsidR="00B37B05" w:rsidRDefault="00000000">
      <w:pPr>
        <w:pStyle w:val="Bibliography1"/>
      </w:pPr>
      <w:r>
        <w:lastRenderedPageBreak/>
        <w:t xml:space="preserve">Chen, Lei, Chong Zhang, Ruidong Xue, et al. 2024. ‘Deep Whole-Genome Analysis of 494 Hepatocellular Carcinomas’. </w:t>
      </w:r>
      <w:r>
        <w:rPr>
          <w:i/>
        </w:rPr>
        <w:t>Nature</w:t>
      </w:r>
      <w:r>
        <w:t>, ahead of print, March 21. https://doi.org/10.1038/s41586-024-07054-3.</w:t>
      </w:r>
    </w:p>
    <w:p w14:paraId="694023C4" w14:textId="77777777" w:rsidR="00B37B05" w:rsidRDefault="00000000">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5CA90432" w14:textId="77777777" w:rsidR="00B37B05" w:rsidRDefault="00000000">
      <w:pPr>
        <w:pStyle w:val="Bibliography1"/>
      </w:pPr>
      <w:r>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5B12E4E1" w14:textId="77777777" w:rsidR="00B37B05"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7EE36918" w14:textId="77777777" w:rsidR="00B37B05" w:rsidRDefault="00000000">
      <w:pPr>
        <w:pStyle w:val="Bibliography1"/>
      </w:pPr>
      <w:r>
        <w:t xml:space="preserve">Huang, Mi Ni, Willie Yu, Wei Wei Teoh, et al. 2017. ‘Genome-Scale Mutational Signatures of Aflatoxin in Cells, Mice, and Human Tumors’. </w:t>
      </w:r>
      <w:r>
        <w:rPr>
          <w:i/>
        </w:rPr>
        <w:t>Genome Research</w:t>
      </w:r>
      <w:r>
        <w:t xml:space="preserve"> 27 (9): 1475–86. https://doi.org/10.1101/gr.220038.116.</w:t>
      </w:r>
    </w:p>
    <w:p w14:paraId="7543CA5B" w14:textId="77777777" w:rsidR="00B37B05" w:rsidRDefault="00000000">
      <w:pPr>
        <w:pStyle w:val="Bibliography1"/>
      </w:pPr>
      <w:r>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44B70303" w14:textId="77777777" w:rsidR="00B37B05" w:rsidRDefault="00000000">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3BFB70F8" w14:textId="77777777" w:rsidR="00B37B05" w:rsidRDefault="00000000">
      <w:pPr>
        <w:pStyle w:val="Bibliography1"/>
      </w:pPr>
      <w:r>
        <w:lastRenderedPageBreak/>
        <w:t xml:space="preserve">Jin, Hu, Doga C. Gulhan, Benedikt Geiger, et al. 2024. ‘Accurate and Sensitive Mutational Signature Analysis with MuSiCal’. </w:t>
      </w:r>
      <w:r>
        <w:rPr>
          <w:i/>
        </w:rPr>
        <w:t>Nature Genetics</w:t>
      </w:r>
      <w:r>
        <w:t xml:space="preserve"> 56 (3): 541–52. https://doi.org/10.1038/s41588-024-01659-0.</w:t>
      </w:r>
    </w:p>
    <w:p w14:paraId="38299CA2" w14:textId="77777777" w:rsidR="00B37B05" w:rsidRDefault="00000000">
      <w:pPr>
        <w:pStyle w:val="Bibliography1"/>
      </w:pPr>
      <w:r>
        <w:t xml:space="preserve">Koh, Gene Ching Chiek, Arjun Scott Nanda, Giuseppe Rinaldi, et al. 2025a. ‘A Redefined InDel Taxonomy Provides Insights into Mutational Signatures’. </w:t>
      </w:r>
      <w:r>
        <w:rPr>
          <w:i/>
        </w:rPr>
        <w:t>Nature Genetics</w:t>
      </w:r>
      <w:r>
        <w:t>, ahead of print, April 10. https://doi.org/10.1038/s41588-025-02152-y.</w:t>
      </w:r>
    </w:p>
    <w:p w14:paraId="2F6AB1B8" w14:textId="77777777" w:rsidR="00B37B05" w:rsidRDefault="00000000">
      <w:pPr>
        <w:pStyle w:val="Bibliography1"/>
      </w:pPr>
      <w:r>
        <w:t xml:space="preserve">Koh, Gene Ching Chiek, Arjun Scott Nanda, Giuseppe Rinaldi, et al. 2025b. ‘A Redefined InDel Taxonomy Provides Insights into Mutational Signatures’. </w:t>
      </w:r>
      <w:r>
        <w:rPr>
          <w:i/>
        </w:rPr>
        <w:t>Nature Genetics</w:t>
      </w:r>
      <w:r>
        <w:t>, ahead of print, April 10. https://doi.org/10.1038/s41588-025-02152-y.</w:t>
      </w:r>
    </w:p>
    <w:p w14:paraId="2B30A288" w14:textId="77777777" w:rsidR="00B37B05" w:rsidRDefault="00000000">
      <w:pPr>
        <w:pStyle w:val="Bibliography1"/>
      </w:pPr>
      <w:r>
        <w:t xml:space="preserve">Kucab, Jill E., Xueqing Zou, Sandro Morganella, et al. 2019. ‘A Compendium of Mutational Signatures of Environmental Agents’. </w:t>
      </w:r>
      <w:r>
        <w:rPr>
          <w:i/>
        </w:rPr>
        <w:t>Cell</w:t>
      </w:r>
      <w:r>
        <w:t xml:space="preserve"> 177 (4): 821-836.e16. https://doi.org/10.1016/j.cell.2019.03.001.</w:t>
      </w:r>
    </w:p>
    <w:p w14:paraId="03D80836" w14:textId="77777777" w:rsidR="00B37B05" w:rsidRDefault="00000000">
      <w:pPr>
        <w:pStyle w:val="Bibliography1"/>
      </w:pPr>
      <w:r>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11BFBA10" w14:textId="77777777" w:rsidR="00B37B05"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0351C55E" w14:textId="77777777" w:rsidR="00B37B05" w:rsidRDefault="00000000">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730D5A8C" w14:textId="77777777" w:rsidR="00B37B05" w:rsidRDefault="00000000">
      <w:pPr>
        <w:pStyle w:val="Bibliography1"/>
      </w:pPr>
      <w:r>
        <w:lastRenderedPageBreak/>
        <w:t xml:space="preserve">Poon, Song Ling, Mi Ni Huang, Yang Choo, et al. 2015. ‘Mutation Signatures Implicate Aristolochic Acid in Bladder Cancer Development’. </w:t>
      </w:r>
      <w:r>
        <w:rPr>
          <w:i/>
        </w:rPr>
        <w:t>Genome Medicine</w:t>
      </w:r>
      <w:r>
        <w:t xml:space="preserve"> 7 (1): 38. https://doi.org/10.1186/s13073-015-0161-3.</w:t>
      </w:r>
    </w:p>
    <w:p w14:paraId="62579DED" w14:textId="77777777" w:rsidR="00B37B05"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5652819C" w14:textId="77777777" w:rsidR="00B37B05" w:rsidRDefault="00000000">
      <w:pPr>
        <w:pStyle w:val="Bibliography1"/>
      </w:pPr>
      <w:r>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364328D2" w14:textId="77777777" w:rsidR="00B37B05" w:rsidRDefault="00000000">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23"/>
    </w:p>
    <w:p w14:paraId="4981D063" w14:textId="77777777" w:rsidR="00B37B05" w:rsidRDefault="00B37B05"/>
    <w:sectPr w:rsidR="00B37B05">
      <w:footerReference w:type="default" r:id="rId27"/>
      <w:footerReference w:type="first" r:id="rId28"/>
      <w:pgSz w:w="12240" w:h="15840"/>
      <w:pgMar w:top="144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Mo Liu" w:date="2026-05-08T11:29:00Z" w:initials="ML">
    <w:p w14:paraId="49BFBCD0" w14:textId="77777777" w:rsidR="00BA50F7" w:rsidRDefault="006522F5" w:rsidP="00BA50F7">
      <w:pPr>
        <w:pStyle w:val="CommentText"/>
        <w:ind w:firstLine="0"/>
      </w:pPr>
      <w:r>
        <w:rPr>
          <w:rStyle w:val="CommentReference"/>
        </w:rPr>
        <w:annotationRef/>
      </w:r>
      <w:r w:rsidR="00BA50F7">
        <w:t>I put all related anlaysis in Table S9 for now</w:t>
      </w:r>
    </w:p>
  </w:comment>
  <w:comment w:id="19" w:author="Mo Liu" w:date="2026-05-08T14:38:00Z" w:initials="ML">
    <w:p w14:paraId="2EC73E9E" w14:textId="77777777" w:rsidR="005C462B" w:rsidRDefault="005C462B" w:rsidP="005C462B">
      <w:pPr>
        <w:pStyle w:val="CommentText"/>
        <w:ind w:firstLine="0"/>
      </w:pPr>
      <w:r>
        <w:rPr>
          <w:rStyle w:val="CommentReference"/>
        </w:rPr>
        <w:annotationRef/>
      </w:r>
      <w:r>
        <w:t>Put steve’s figure</w:t>
      </w:r>
    </w:p>
  </w:comment>
  <w:comment w:id="20" w:author="Mo Liu" w:date="2026-05-06T15:46:00Z" w:initials="ML">
    <w:p w14:paraId="710D4CAB" w14:textId="77777777" w:rsidR="00B37B05" w:rsidRDefault="00000000">
      <w:pPr>
        <w:overflowPunct w:val="0"/>
        <w:spacing w:after="0" w:line="240" w:lineRule="auto"/>
      </w:pPr>
      <w:r>
        <w:annotationRef/>
      </w:r>
      <w:r>
        <w:rPr>
          <w:rFonts w:ascii="Calibri" w:eastAsia="宋体" w:hAnsi="Calibri" w:cs="Noto Sans Arabic UI"/>
          <w:sz w:val="22"/>
          <w:szCs w:val="22"/>
        </w:rPr>
        <w:t>Mo finished writing for this section</w:t>
      </w:r>
    </w:p>
  </w:comment>
  <w:comment w:id="21" w:author="Mo Liu" w:date="2026-04-07T16:26:00Z" w:initials="ML">
    <w:p w14:paraId="264327B8" w14:textId="77777777" w:rsidR="00B37B05" w:rsidRDefault="00000000">
      <w:pPr>
        <w:overflowPunct w:val="0"/>
        <w:spacing w:after="0" w:line="240" w:lineRule="auto"/>
      </w:pPr>
      <w:r>
        <w:annotationRef/>
      </w:r>
      <w:r>
        <w:rPr>
          <w:rFonts w:ascii="Calibri" w:eastAsia="宋体" w:hAnsi="Calibri" w:cs="Noto Sans Arabic UI"/>
          <w:sz w:val="22"/>
          <w:szCs w:val="22"/>
        </w:rPr>
        <w:t>Mo edit</w:t>
      </w:r>
    </w:p>
  </w:comment>
  <w:comment w:id="22" w:author="Mo Liu" w:date="2026-04-07T16:27:00Z" w:initials="ML">
    <w:p w14:paraId="79579163" w14:textId="77777777" w:rsidR="00B37B05" w:rsidRDefault="00000000">
      <w:pPr>
        <w:overflowPunct w:val="0"/>
        <w:spacing w:after="0" w:line="240" w:lineRule="auto"/>
      </w:pPr>
      <w:r>
        <w:annotationRef/>
      </w:r>
      <w:r>
        <w:rPr>
          <w:rFonts w:ascii="Calibri" w:eastAsia="宋体" w:hAnsi="Calibri" w:cs="Noto Sans Arabic UI"/>
          <w:sz w:val="22"/>
          <w:szCs w:val="22"/>
        </w:rPr>
        <w:t>To Steve: Please check if you edited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BFBCD0" w15:done="0"/>
  <w15:commentEx w15:paraId="2EC73E9E" w15:done="0"/>
  <w15:commentEx w15:paraId="710D4CAB" w15:done="0"/>
  <w15:commentEx w15:paraId="264327B8" w15:done="0"/>
  <w15:commentEx w15:paraId="795791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53A0A4" w16cex:dateUtc="2026-05-08T03:29:00Z"/>
  <w16cex:commentExtensible w16cex:durableId="1A523066" w16cex:dateUtc="2026-05-08T06: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BFBCD0" w16cid:durableId="1053A0A4"/>
  <w16cid:commentId w16cid:paraId="2EC73E9E" w16cid:durableId="1A523066"/>
  <w16cid:commentId w16cid:paraId="710D4CAB" w16cid:durableId="56F9F70C"/>
  <w16cid:commentId w16cid:paraId="264327B8" w16cid:durableId="67886A18"/>
  <w16cid:commentId w16cid:paraId="79579163" w16cid:durableId="76C7D5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58E48" w14:textId="77777777" w:rsidR="00334845" w:rsidRDefault="00334845">
      <w:pPr>
        <w:spacing w:after="0" w:line="240" w:lineRule="auto"/>
      </w:pPr>
      <w:r>
        <w:separator/>
      </w:r>
    </w:p>
  </w:endnote>
  <w:endnote w:type="continuationSeparator" w:id="0">
    <w:p w14:paraId="1C80C2B1" w14:textId="77777777" w:rsidR="00334845" w:rsidRDefault="00334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charset w:val="00"/>
    <w:family w:val="roman"/>
    <w:pitch w:val="default"/>
  </w:font>
  <w:font w:name="DejaVu Sans">
    <w:altName w:val="Verdana"/>
    <w:charset w:val="01"/>
    <w:family w:val="swiss"/>
    <w:pitch w:val="default"/>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swiss"/>
    <w:pitch w:val="variable"/>
  </w:font>
  <w:font w:name="Liberation Sans">
    <w:altName w:val="Arial"/>
    <w:charset w:val="01"/>
    <w:family w:val="swiss"/>
    <w:pitch w:val="variable"/>
  </w:font>
  <w:font w:name="Google Sans;Roboto;Arial;sans-s">
    <w:altName w:val="Cambria"/>
    <w:panose1 w:val="00000000000000000000"/>
    <w:charset w:val="00"/>
    <w:family w:val="roman"/>
    <w:notTrueType/>
    <w:pitch w:val="default"/>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435B2" w14:textId="77777777" w:rsidR="00B37B05"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33994" w14:textId="77777777" w:rsidR="00B37B05"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0DAAE" w14:textId="77777777" w:rsidR="00334845" w:rsidRDefault="00334845">
      <w:pPr>
        <w:spacing w:after="0" w:line="240" w:lineRule="auto"/>
      </w:pPr>
      <w:r>
        <w:separator/>
      </w:r>
    </w:p>
  </w:footnote>
  <w:footnote w:type="continuationSeparator" w:id="0">
    <w:p w14:paraId="1CCB935A" w14:textId="77777777" w:rsidR="00334845" w:rsidRDefault="003348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D0A84"/>
    <w:multiLevelType w:val="multilevel"/>
    <w:tmpl w:val="44A015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E612213"/>
    <w:multiLevelType w:val="multilevel"/>
    <w:tmpl w:val="DF78BB8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F5D45FF"/>
    <w:multiLevelType w:val="multilevel"/>
    <w:tmpl w:val="01D6CAA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6561593"/>
    <w:multiLevelType w:val="multilevel"/>
    <w:tmpl w:val="BC3CECB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56174256">
    <w:abstractNumId w:val="1"/>
  </w:num>
  <w:num w:numId="2" w16cid:durableId="980305856">
    <w:abstractNumId w:val="2"/>
  </w:num>
  <w:num w:numId="3" w16cid:durableId="605695991">
    <w:abstractNumId w:val="3"/>
  </w:num>
  <w:num w:numId="4" w16cid:durableId="30200513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B05"/>
    <w:rsid w:val="00252800"/>
    <w:rsid w:val="0033359F"/>
    <w:rsid w:val="00334845"/>
    <w:rsid w:val="00477CFE"/>
    <w:rsid w:val="0051541B"/>
    <w:rsid w:val="005C462B"/>
    <w:rsid w:val="006522F5"/>
    <w:rsid w:val="00A2161A"/>
    <w:rsid w:val="00B37B05"/>
    <w:rsid w:val="00BA50F7"/>
    <w:rsid w:val="00BC09D8"/>
    <w:rsid w:val="00BE114E"/>
    <w:rsid w:val="00C84ADA"/>
    <w:rsid w:val="00F40497"/>
    <w:rsid w:val="00FC59E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A5891"/>
  <w15:docId w15:val="{811E3A6B-B5E3-4CD8-8F56-C357D1E83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qFormat/>
    <w:rPr>
      <w:sz w:val="21"/>
      <w:szCs w:val="21"/>
    </w:r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
    <w:name w:val="Bullets"/>
    <w:qFormat/>
    <w:rPr>
      <w:rFonts w:ascii="OpenSymbol" w:eastAsia="OpenSymbol" w:hAnsi="OpenSymbol" w:cs="OpenSymbol"/>
    </w:rPr>
  </w:style>
  <w:style w:type="character" w:styleId="LineNumber">
    <w:name w:val="line number"/>
  </w:style>
  <w:style w:type="character" w:styleId="Strong">
    <w:name w:val="Strong"/>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semiHidden/>
    <w:unhideWhenUsed/>
    <w:qFormat/>
    <w:rsid w:val="00D20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anusights.com/blog/cell-formatting-requirements" TargetMode="External"/><Relationship Id="rId13" Type="http://schemas.openxmlformats.org/officeDocument/2006/relationships/hyperlink" Target="https://indelsignaturebrowser.shinyapps.io/indel-signature-browser/" TargetMode="External"/><Relationship Id="rId18" Type="http://schemas.microsoft.com/office/2018/08/relationships/commentsExtensible" Target="commentsExtensible.xml"/><Relationship Id="rId26" Type="http://schemas.openxmlformats.org/officeDocument/2006/relationships/hyperlink" Target="https://www.synapse.org/" TargetMode="External"/><Relationship Id="rId3" Type="http://schemas.openxmlformats.org/officeDocument/2006/relationships/settings" Target="settings.xml"/><Relationship Id="rId21" Type="http://schemas.openxmlformats.org/officeDocument/2006/relationships/hyperlink" Target="https://cancer.sanger.ac.uk/signatures/id/" TargetMode="External"/><Relationship Id="rId7" Type="http://schemas.openxmlformats.org/officeDocument/2006/relationships/hyperlink" Target="mailto:mo.liu@gzhmu.edu.cn" TargetMode="External"/><Relationship Id="rId12" Type="http://schemas.openxmlformats.org/officeDocument/2006/relationships/hyperlink" Target="https://www.cell.com/cell/information-for-authors/article-types" TargetMode="External"/><Relationship Id="rId17" Type="http://schemas.microsoft.com/office/2016/09/relationships/commentsIds" Target="commentsIds.xml"/><Relationship Id="rId25" Type="http://schemas.openxmlformats.org/officeDocument/2006/relationships/hyperlink" Target="https://genomebiology.biomedcentral.com/articles/10.1186/s13059-018-1509-y" TargetMode="External"/><Relationship Id="rId2" Type="http://schemas.openxmlformats.org/officeDocument/2006/relationships/styles" Target="styles.xml"/><Relationship Id="rId16" Type="http://schemas.microsoft.com/office/2011/relationships/commentsExtended" Target="commentsExtended.xml"/><Relationship Id="rId20" Type="http://schemas.openxmlformats.org/officeDocument/2006/relationships/hyperlink" Target="https://cancer.sanger.ac.uk/cosmic/census?tier=1"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ell.com/multi-journal-submission/authors" TargetMode="External"/><Relationship Id="rId24" Type="http://schemas.openxmlformats.org/officeDocument/2006/relationships/hyperlink" Target="https://hgdownload.cse.ucsc.edu/goldenPath/hg19/encodeDCC/wgEncodeUwRepliSeq/" TargetMode="External"/><Relationship Id="rId5"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hyperlink" Target="https://doi.org/10.1016/j.celrep.2023.112930" TargetMode="External"/><Relationship Id="rId28" Type="http://schemas.openxmlformats.org/officeDocument/2006/relationships/footer" Target="footer2.xml"/><Relationship Id="rId10" Type="http://schemas.openxmlformats.org/officeDocument/2006/relationships/hyperlink" Target="https://manusights.com/blog/cell-formatting-requirements" TargetMode="External"/><Relationship Id="rId19" Type="http://schemas.openxmlformats.org/officeDocument/2006/relationships/hyperlink" Target="https://dcc.icgc.org/releases/current/Projects/"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cell.com/cell-genomics/information-for-authors/article-types" TargetMode="External"/><Relationship Id="rId14" Type="http://schemas.openxmlformats.org/officeDocument/2006/relationships/hyperlink" Target="https://www.sciencedirect.com/science/article/pii/S2211124722002996" TargetMode="External"/><Relationship Id="rId22" Type="http://schemas.openxmlformats.org/officeDocument/2006/relationships/hyperlink" Target="https://bmcbioinformatics.biomedcentral.com/articles/10.1186/s12859-020-03772-3" TargetMode="External"/><Relationship Id="rId27" Type="http://schemas.openxmlformats.org/officeDocument/2006/relationships/footer" Target="footer1.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TotalTime>
  <Pages>30</Pages>
  <Words>9787</Words>
  <Characters>55789</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cp:keywords/>
  <dc:description/>
  <cp:lastModifiedBy>Mo Liu</cp:lastModifiedBy>
  <cp:revision>7</cp:revision>
  <cp:lastPrinted>2025-06-06T09:23:00Z</cp:lastPrinted>
  <dcterms:created xsi:type="dcterms:W3CDTF">2026-05-08T03:47:00Z</dcterms:created>
  <dcterms:modified xsi:type="dcterms:W3CDTF">2026-05-08T06:38:00Z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