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Normal"/>
        <w:ind w:hanging="0"/>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4"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5">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8">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w:t>
      </w:r>
      <w:r>
        <w:rPr/>
        <w:t xml:space="preserve"> </w:t>
      </w:r>
      <w:r>
        <w:rPr/>
        <w:t>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One of the new classification schemes is based on 476 types of indel and one is based on 89 types, which mainly consolidates similar mutation types in the 476-type classification into coarser-grained mutation type</w:t>
      </w:r>
      <w:r>
        <w:rPr/>
        <w:t xml:space="preserv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宋体"/>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w:t>
      </w:r>
      <w:r>
        <w:rPr/>
        <w:t xml:space="preserve">for 18 </w:t>
      </w:r>
      <w:bookmarkStart w:id="14" w:name="ZOTERO_BREF_0qMQgAENxeSA"/>
      <w:r>
        <w:rPr/>
        <w:t>(Koh et al. 2025)</w:t>
      </w:r>
      <w:bookmarkEnd w:id="14"/>
      <w:r>
        <w:rPr/>
        <w:t xml:space="preserve">. </w:t>
      </w: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classification, constitute a single class of &gt; 8.5 million </w:t>
      </w:r>
      <w:r>
        <w:rPr/>
        <w:t>deletions out of 9.5 million deletions of a single T and out of 18.4 million deletions in total</w:t>
      </w:r>
      <w:r>
        <w:rPr/>
        <w:t xml:space="preserve">.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eastAsia="Liberation Serif" w:cs="Liberation Serif" w:ascii="Liberation Serif" w:hAnsi="Liberation Serif"/>
        </w:rPr>
        <w:t>≥ 8 Ts but are distinguished by InsDel2a’s preference of flanking A bases and InsDel1c’s preference for flanking C bases.</w:t>
      </w:r>
      <w:r>
        <w:rPr/>
        <w:t xml:space="preserve"> </w:t>
      </w:r>
      <w:r>
        <w:rPr>
          <w:color w:val="000000"/>
          <w:highlight w:val="yellow"/>
        </w:rPr>
        <w:t xml:space="preserve">Insdel2b and InsDel2c are strongly enriched among MSI-H tumors </w:t>
      </w:r>
      <w:r>
        <w:rPr>
          <w:color w:val="000000"/>
          <w:highlight w:val="yellow"/>
          <w:shd w:fill="00FFFF" w:val="clear"/>
        </w:rPr>
        <w:t>&lt;This is currently figure 5; move this text to the attribution section&gt;</w:t>
      </w:r>
    </w:p>
    <w:p>
      <w:pPr>
        <w:pStyle w:val="normalfirst"/>
        <w:ind w:firstLine="720"/>
        <w:rPr/>
      </w:pPr>
      <w:r>
        <w:rPr/>
        <w:t xml:space="preserve">Like deletions of single T bases from long poly-T tracts, insertions of single T bases into tracts of </w:t>
      </w:r>
      <w:r>
        <w:rPr>
          <w:rFonts w:eastAsia="Liberation Serif" w:cs="Liberation Serif" w:ascii="Liberation Serif" w:hAnsi="Liberation Serif"/>
        </w:rPr>
        <w:t>≥</w:t>
      </w:r>
      <w:r>
        <w:rPr/>
        <w:t xml:space="preserve"> 5 Ts also showed that the 89 and 476-type systems distinguish signatures that the 83-type classification does not. In the data we analyzed there were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tumors with high proportions of InsDel1b (&gt; 0.4) have mutation in the proofreading domain of polymerase epsilon </w:t>
      </w:r>
      <w:r>
        <w:rPr>
          <w:shd w:fill="00FFFF" w:val="clear"/>
        </w:rPr>
        <w:t>(Table S9)</w:t>
      </w:r>
      <w:r>
        <w:rPr/>
        <w:t>.</w:t>
      </w:r>
    </w:p>
    <w:p>
      <w:pPr>
        <w:pStyle w:val="normalfirst"/>
        <w:ind w:firstLine="720"/>
        <w:rPr/>
      </w:pPr>
      <w:r>
        <w:rPr>
          <w:rFonts w:eastAsia="宋体" w:hint="eastAsia"/>
        </w:rPr>
        <w:t xml:space="preserve">However,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first"/>
        <w:rPr>
          <w:rFonts w:eastAsia="宋体"/>
          <w:b/>
          <w:bCs/>
          <w:i/>
          <w:iCs/>
        </w:rPr>
      </w:pPr>
      <w:r>
        <w:rPr>
          <w:rFonts w:eastAsia="宋体"/>
          <w:b/>
          <w:bCs/>
          <w:i/>
          <w:iCs/>
        </w:rPr>
        <w:t xml:space="preserve">APOBEC3A activity and </w:t>
      </w:r>
      <w:r>
        <w:rPr>
          <w:rFonts w:eastAsia="宋体"/>
          <w:b/>
          <w:bCs/>
          <w:i/>
          <w:iCs/>
        </w:rPr>
        <w:t>InsDel_Aβ</w:t>
      </w:r>
      <w:r>
        <w:rPr>
          <w:rFonts w:eastAsia="宋体" w:hint="eastAsia"/>
          <w:b/>
          <w:bCs/>
          <w:i/>
          <w:iCs/>
        </w:rPr>
        <w:t xml:space="preserve">. </w:t>
      </w:r>
      <w:r>
        <w:rPr>
          <w:rFonts w:eastAsia="宋体"/>
        </w:rPr>
        <w:t xml:space="preserve">We identified InsDel_Aβ, an indel signature </w:t>
      </w:r>
      <w:r>
        <w:rPr>
          <w:rFonts w:eastAsia="宋体"/>
        </w:rPr>
        <w:t xml:space="preserve">that in the 476-type classification consists primarily of </w:t>
      </w:r>
      <w:r>
        <w:rPr>
          <w:rFonts w:eastAsia="宋体"/>
        </w:rPr>
        <w:t xml:space="preserve">1 bp C deletions </w:t>
      </w:r>
      <w:r>
        <w:rPr>
          <w:rFonts w:eastAsia="宋体"/>
        </w:rPr>
        <w:t>TCA</w:t>
      </w:r>
      <w:r>
        <w:rPr>
          <w:rFonts w:eastAsia="DejaVu Sans" w:hint="eastAsia"/>
        </w:rPr>
        <w:t>→</w:t>
      </w:r>
      <w:r>
        <w:rPr>
          <w:rFonts w:eastAsia="宋体"/>
        </w:rPr>
        <w:t>TA and TCT</w:t>
      </w:r>
      <w:r>
        <w:rPr>
          <w:rFonts w:eastAsia="DejaVu Sans" w:hint="eastAsia"/>
        </w:rPr>
        <w:t>→</w:t>
      </w:r>
      <w:r>
        <w:rPr>
          <w:rFonts w:eastAsia="宋体"/>
        </w:rPr>
        <w:t>TT deletions</w:t>
      </w:r>
      <w:r>
        <w:rPr>
          <w:rFonts w:eastAsia="宋体" w:hint="eastAsia"/>
        </w:rPr>
        <w:t xml:space="preserve"> </w:t>
      </w:r>
      <w:r>
        <w:rPr>
          <w:rFonts w:eastAsia="宋体" w:hint="eastAsia"/>
        </w:rPr>
        <w:t>(</w:t>
      </w:r>
      <w:r>
        <w:rPr>
          <w:rFonts w:eastAsia="宋体" w:hint="eastAsia"/>
        </w:rPr>
        <w:t>F</w:t>
      </w:r>
      <w:r>
        <w:rPr>
          <w:rFonts w:eastAsia="宋体"/>
        </w:rPr>
        <w:t>i</w:t>
      </w:r>
      <w:r>
        <w:rPr>
          <w:rFonts w:eastAsia="宋体" w:hint="eastAsia"/>
        </w:rPr>
        <w:t xml:space="preserve">gure S1C, </w:t>
      </w:r>
      <w:r>
        <w:rPr>
          <w:rFonts w:eastAsia="宋体" w:hint="eastAsia"/>
        </w:rPr>
        <w:t>right</w:t>
      </w:r>
      <w:r>
        <w:rPr>
          <w:rFonts w:eastAsia="宋体" w:hint="eastAsia"/>
        </w:rPr>
        <w:t xml:space="preserve"> sub-panel</w:t>
      </w:r>
      <w:r>
        <w:rPr>
          <w:rFonts w:eastAsia="宋体"/>
        </w:rPr>
        <w:t>). Th</w:t>
      </w:r>
      <w:r>
        <w:rPr>
          <w:rFonts w:eastAsia="宋体"/>
        </w:rPr>
        <w:t>us, InsDel_Aβ mutates the same sequences a</w:t>
      </w:r>
      <w:r>
        <w:rPr>
          <w:rFonts w:eastAsia="宋体"/>
        </w:rPr>
        <w:t>s</w:t>
      </w:r>
      <w:r>
        <w:rPr>
          <w:rFonts w:eastAsia="宋体"/>
        </w:rPr>
        <w:t xml:space="preserve"> </w:t>
      </w:r>
      <w:r>
        <w:rPr>
          <w:rFonts w:eastAsia="宋体"/>
        </w:rPr>
        <w:t xml:space="preserve">SBS2 </w:t>
      </w:r>
      <w:r>
        <w:rPr>
          <w:rFonts w:eastAsia="宋体" w:hint="eastAsia"/>
        </w:rPr>
        <w:t>(TCA</w:t>
      </w:r>
      <w:r>
        <w:rPr>
          <w:rFonts w:eastAsia="DejaVu Sans" w:hint="eastAsia"/>
        </w:rPr>
        <w:t>→</w:t>
      </w:r>
      <w:r>
        <w:rPr>
          <w:rFonts w:eastAsia="宋体" w:hint="eastAsia"/>
        </w:rPr>
        <w:t xml:space="preserve">TTA </w:t>
      </w:r>
      <w:r>
        <w:rPr>
          <w:rFonts w:eastAsia="宋体" w:hint="eastAsia"/>
        </w:rPr>
        <w:t>and</w:t>
      </w:r>
      <w:r>
        <w:rPr>
          <w:rFonts w:eastAsia="宋体" w:hint="eastAsia"/>
        </w:rPr>
        <w:t xml:space="preserve"> TCT</w:t>
      </w:r>
      <w:r>
        <w:rPr>
          <w:rFonts w:eastAsia="DejaVu San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eastAsia="DejaVu Sans" w:cs="DejaVu Sans" w:hint="eastAsia" w:ascii="DejaVu Sans" w:hAnsi="DejaVu Sans"/>
        </w:rPr>
        <w:t>→</w:t>
      </w:r>
      <w:r>
        <w:rPr>
          <w:rFonts w:eastAsia="宋体" w:hint="eastAsia"/>
        </w:rPr>
        <w:t xml:space="preserve">TGA </w:t>
      </w:r>
      <w:r>
        <w:rPr>
          <w:rFonts w:eastAsia="宋体" w:hint="eastAsia"/>
        </w:rPr>
        <w:t>and</w:t>
      </w:r>
      <w:r>
        <w:rPr>
          <w:rFonts w:eastAsia="宋体" w:hint="eastAsia"/>
        </w:rPr>
        <w:t xml:space="preserve"> TCT</w:t>
      </w:r>
      <w:r>
        <w:rPr>
          <w:rFonts w:eastAsia="DejaVu Sans" w:cs="DejaVu Sans" w:hint="eastAsia" w:ascii="DejaVu Sans" w:hAnsi="DejaVu Sans"/>
        </w:rPr>
        <w:t>→</w:t>
      </w:r>
      <w:r>
        <w:rPr>
          <w:rFonts w:eastAsia="宋体" w:hint="eastAsia"/>
        </w:rPr>
        <w:t>TGT)</w:t>
      </w:r>
      <w:r>
        <w:rPr>
          <w:rFonts w:eastAsia="宋体"/>
        </w:rPr>
        <w:t xml:space="preserve">, which are canonical APOBEC SBS signatures, </w:t>
      </w:r>
      <w:r>
        <w:rPr>
          <w:rFonts w:eastAsia="宋体"/>
        </w:rPr>
        <w:t>and experiments in cell culture have shown that APOBEC3A induces primarily TC</w:t>
      </w:r>
      <w:r>
        <w:rPr>
          <w:rFonts w:eastAsia="DejaVu San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w:t>
      </w:r>
      <w:r>
        <w:rPr>
          <w:rFonts w:eastAsia="宋体"/>
        </w:rPr>
        <w:t>This</w:t>
      </w:r>
      <w:r>
        <w:rPr>
          <w:rFonts w:eastAsia="宋体"/>
        </w:rPr>
        <w:t xml:space="preserve"> </w:t>
      </w:r>
      <w:r>
        <w:rPr>
          <w:rFonts w:eastAsia="宋体"/>
        </w:rPr>
        <w:t xml:space="preserve">signature was was also noted in </w:t>
      </w:r>
      <w:bookmarkStart w:id="17" w:name="ZOTERO_BREF_EcFI6Fskdsau"/>
      <w:r>
        <w:rPr>
          <w:rFonts w:eastAsia="宋体"/>
        </w:rPr>
        <w:t>(Koh et al. 2025)</w:t>
      </w:r>
      <w:bookmarkEnd w:id="17"/>
      <w:r>
        <w:rPr>
          <w:rFonts w:eastAsia="宋体"/>
        </w:rPr>
        <w:t xml:space="preserve">. </w:t>
      </w:r>
      <w:r>
        <w:rPr>
          <w:rFonts w:eastAsia="宋体"/>
        </w:rPr>
        <w:t xml:space="preserve">In parallel, we discovered </w:t>
      </w:r>
      <w:r>
        <w:rPr>
          <w:rFonts w:eastAsia="宋体"/>
        </w:rPr>
        <w:t xml:space="preserve">the corresponding </w:t>
      </w:r>
      <w:r>
        <w:rPr>
          <w:rFonts w:eastAsia="宋体"/>
        </w:rPr>
        <w:t>83-</w:t>
      </w:r>
      <w:r>
        <w:rPr>
          <w:rFonts w:eastAsia="宋体"/>
        </w:rPr>
        <w:t xml:space="preserve">type </w:t>
      </w:r>
      <w:r>
        <w:rPr>
          <w:rFonts w:eastAsia="宋体"/>
        </w:rPr>
        <w:t xml:space="preserve">indel signature, ID_A, which, </w:t>
      </w:r>
      <w:r>
        <w:rPr>
          <w:rFonts w:eastAsia="宋体"/>
        </w:rPr>
        <w:t>compared to C_ID9,</w:t>
      </w:r>
      <w:r>
        <w:rPr>
          <w:rFonts w:eastAsia="宋体"/>
        </w:rPr>
        <w:t xml:space="preserve"> </w:t>
      </w:r>
      <w:r>
        <w:rPr>
          <w:rFonts w:eastAsia="宋体"/>
        </w:rPr>
        <w:t>is more similar</w:t>
      </w:r>
      <w:r>
        <w:rPr>
          <w:rFonts w:eastAsia="宋体"/>
        </w:rPr>
        <w:t xml:space="preserve"> to </w:t>
      </w:r>
      <w:r>
        <w:rPr>
          <w:rFonts w:eastAsia="宋体" w:hint="eastAsia"/>
        </w:rPr>
        <w:t xml:space="preserve">the </w:t>
      </w:r>
      <w:r>
        <w:rPr>
          <w:rFonts w:eastAsia="宋体" w:hint="eastAsia"/>
        </w:rPr>
        <w:t xml:space="preserve">experimental </w:t>
      </w:r>
      <w:r>
        <w:rPr>
          <w:rFonts w:eastAsia="宋体" w:hint="eastAsia"/>
        </w:rPr>
        <w:t xml:space="preserve">indel spectrum </w:t>
      </w:r>
      <w:r>
        <w:rPr>
          <w:rFonts w:eastAsia="宋体" w:hint="eastAsia"/>
        </w:rPr>
        <w:t>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w:t>
      </w:r>
      <w:r>
        <w:rPr>
          <w:rFonts w:eastAsia="宋体" w:hint="eastAsia"/>
        </w:rPr>
        <w:t>Notably c</w:t>
      </w:r>
      <w:r>
        <w:rPr>
          <w:rFonts w:eastAsia="宋体" w:hint="eastAsia"/>
        </w:rPr>
        <w:t xml:space="preserve">ompared to ID9, </w:t>
      </w:r>
      <w:r>
        <w:rPr>
          <w:rFonts w:eastAsia="宋体"/>
        </w:rPr>
        <w:t xml:space="preserve">ID_A </w:t>
      </w:r>
      <w:r>
        <w:rPr>
          <w:rFonts w:eastAsia="宋体"/>
        </w:rPr>
        <w:t xml:space="preserve">lacks the prominent </w:t>
      </w:r>
      <w:r>
        <w:rPr>
          <w:rFonts w:eastAsia="宋体"/>
        </w:rPr>
        <w:t xml:space="preserve">1 bp T deletions </w:t>
      </w:r>
      <w:r>
        <w:rPr>
          <w:rFonts w:eastAsia="宋体"/>
        </w:rPr>
        <w:t xml:space="preserve">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pPr>
        <w:pStyle w:val="normalfirst"/>
        <w:bidi w:val="0"/>
        <w:rPr>
          <w:highlight w:val="none"/>
          <w:shd w:fill="FFFF00" w:val="clear"/>
        </w:rPr>
      </w:pPr>
      <w:r>
        <w:rPr>
          <w:b/>
          <w:bCs/>
          <w:i/>
          <w:iCs/>
          <w:shd w:fill="FFFF00" w:val="clear"/>
        </w:rPr>
        <w:t xml:space="preserve">STEVE DEFINITE NEED PARAGRAPH </w:t>
      </w:r>
      <w:r>
        <w:rPr>
          <w:i/>
          <w:iCs/>
          <w:shd w:fill="FFFF00" w:val="clear"/>
        </w:rPr>
        <w:t>N_beta is the new ID2</w:t>
      </w:r>
    </w:p>
    <w:p>
      <w:pPr>
        <w:pStyle w:val="Normal"/>
        <w:rPr>
          <w:highlight w:val="none"/>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left="0"/>
        <w:rPr>
          <w:i/>
          <w:iCs/>
          <w:sz w:val="24"/>
          <w:szCs w:val="24"/>
        </w:rPr>
      </w:pPr>
      <w:commentRangeStart w:id="0"/>
      <w:r>
        <w:rPr>
          <w:i/>
          <w:iCs/>
          <w:sz w:val="24"/>
          <w:szCs w:val="24"/>
        </w:rPr>
        <w:t>Associations between indel signatures and SBS signatures &lt;FOR STEVE TO REVIEW&gt;</w:t>
      </w:r>
      <w:commentRangeEnd w:id="0"/>
      <w:r>
        <w:commentReference w:id="0"/>
      </w:r>
      <w:r>
        <w:rPr>
          <w:i/>
          <w:iCs/>
          <w:sz w:val="24"/>
          <w:szCs w:val="24"/>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宋体" w:hint="eastAsia"/>
          <w:shd w:fill="00FFFF" w:val="clear"/>
        </w:rPr>
        <w:t>4</w:t>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7</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9">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These data was also provided</w:t>
      </w:r>
      <w:r>
        <w:rPr/>
        <w:t xml:space="preserve"> </w:t>
      </w:r>
      <w:r>
        <w:rPr/>
        <w:t xml:space="preserve">are available </w:t>
      </w:r>
      <w:r>
        <w:rPr/>
        <w:t>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10">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normalfirst"/>
        <w:rPr/>
      </w:pPr>
      <w:r>
        <w:rPr/>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were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left w:val="single" w:sz="4" w:space="0" w:color="999999"/>
              <w:bottom w:val="single" w:sz="12" w:space="0" w:color="666666"/>
              <w:right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lineRule="auto" w:line="240" w:before="0" w:after="0"/>
        <w:ind w:hanging="0"/>
        <w:rPr>
          <w:rFonts w:eastAsia="宋体" w:eastAsiaTheme="minorEastAsia"/>
        </w:rPr>
      </w:pPr>
      <w:r>
        <w:rPr/>
        <w:drawing>
          <wp:inline distT="0" distB="0" distL="0" distR="0">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a:stretch>
                      <a:fillRect/>
                    </a:stretch>
                  </pic:blipFill>
                  <pic:spPr bwMode="auto">
                    <a:xfrm>
                      <a:off x="0" y="0"/>
                      <a:ext cx="5939790" cy="479488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4a Activity of 83-type and 89-type mutational signatures across cancer types (part1, InsDel1a to InsDel14)</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9"/>
                    <a:stretch>
                      <a:fillRect/>
                    </a:stretch>
                  </pic:blipFill>
                  <pic:spPr bwMode="auto">
                    <a:xfrm>
                      <a:off x="0" y="0"/>
                      <a:ext cx="5939790" cy="43732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w:t>
      </w:r>
      <w:r>
        <w:rPr>
          <w:rFonts w:eastAsia="宋体" w:hint="eastAsia" w:eastAsiaTheme="minorEastAsia"/>
          <w:b/>
          <w:bCs/>
          <w:sz w:val="18"/>
          <w:szCs w:val="18"/>
        </w:rPr>
        <w:t>b</w:t>
      </w:r>
      <w:r>
        <w:rPr>
          <w:rFonts w:hint="eastAsia"/>
          <w:b/>
          <w:bCs/>
          <w:sz w:val="18"/>
          <w:szCs w:val="18"/>
        </w:rPr>
        <w:t xml:space="preserve"> Activity of 83-type and 89-type mutational signatures across cancer types (part1, InsDel</w:t>
      </w:r>
      <w:r>
        <w:rPr>
          <w:rFonts w:eastAsia="宋体" w:hint="eastAsia" w:eastAsiaTheme="minorEastAsia"/>
          <w:b/>
          <w:bCs/>
          <w:sz w:val="18"/>
          <w:szCs w:val="18"/>
        </w:rPr>
        <w:t>17</w:t>
      </w:r>
      <w:r>
        <w:rPr>
          <w:rFonts w:hint="eastAsia"/>
          <w:b/>
          <w:bCs/>
          <w:sz w:val="18"/>
          <w:szCs w:val="18"/>
        </w:rPr>
        <w:t xml:space="preserve"> to InsDel</w:t>
      </w:r>
      <w:r>
        <w:rPr>
          <w:rFonts w:eastAsia="宋体" w:hint="eastAsia" w:eastAsiaTheme="minorEastAsia"/>
          <w:b/>
          <w:bCs/>
          <w:sz w:val="18"/>
          <w:szCs w:val="18"/>
        </w:rPr>
        <w:t>_N</w:t>
      </w:r>
      <w:r>
        <w:rPr>
          <w:rFonts w:eastAsia="宋体" w:eastAsiaTheme="minorEastAsia"/>
          <w:b/>
          <w:bCs/>
          <w:sz w:val="18"/>
          <w:szCs w:val="18"/>
        </w:rPr>
        <w:t>β</w:t>
      </w:r>
      <w:r>
        <w:rPr>
          <w:rFonts w:hint="eastAsia"/>
          <w:b/>
          <w:bCs/>
          <w:sz w:val="18"/>
          <w:szCs w:val="18"/>
        </w:rPr>
        <w:t>)</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pPr>
      <w:r>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0"/>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eastAsiaTheme="minorEastAsia"/>
          <w:b/>
          <w:bCs/>
          <w:sz w:val="18"/>
          <w:szCs w:val="18"/>
        </w:rPr>
        <w:t>5</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1"/>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2"/>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23"/>
      <w:footerReference w:type="default" r:id="rId24"/>
      <w:footerReference w:type="first" r:id="rId25"/>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20T09:26:00Z" w:initials="ML">
    <w:p>
      <w:pPr>
        <w:overflowPunct w:val="true"/>
        <w:spacing w:lineRule="auto" w:line="240" w:before="0" w:after="0"/>
        <w:rPr/>
      </w:pPr>
      <w:r>
        <w:annotationRef/>
      </w:r>
      <w:r>
        <w:rPr>
          <w:rFonts w:eastAsia="宋体" w:cs="Noto Sans Arabic UI" w:ascii="Calibri" w:hAnsi="Calibri"/>
          <w:sz w:val="22"/>
          <w:szCs w:val="22"/>
        </w:rPr>
        <w:t>I added cancer type enrichment plot to Figure 5</w:t>
      </w:r>
    </w:p>
  </w:comment>
  <w:comment w:id="3" w:author="Mo Liu" w:date="2026-05-25T13:45:00Z" w:initials="ML">
    <w:p w14:paraId="01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2" w:author="Steve Rozen, Ph.D." w:date="2026-05-28T17:52:00Z" w:initials="SR">
    <w:p w14:paraId="02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1" w:author="Mo Liu" w:date="2026-05-29T16:03:00Z" w:initials="ML">
    <w:p w14:paraId="03000000">
      <w:pPr>
        <w:overflowPunct w:val="false"/>
        <w:spacing w:before="0" w:after="0" w:lineRule="auto" w:line="240"/>
        <w:rPr/>
      </w:pPr>
      <w:r>
        <w:annotationRef/>
      </w:r>
      <w:r>
        <w:rPr>
          <w:rFonts w:cs="Noto Sans Arabic UI" w:eastAsia="宋体" w:ascii="Calibri" w:hAnsi="Calibri"/>
          <w:sz w:val="22"/>
          <w:szCs w:val="22"/>
        </w:rPr>
        <w:t>I update via email.</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Courier New">
    <w:charset w:val="01"/>
    <w:family w:val="roman"/>
    <w:pitch w:val="variable"/>
  </w:font>
  <w:font w:name="Google Sans">
    <w:altName w:val="Roboto"/>
    <w:charset w:val="01"/>
    <w:family w:val="roman"/>
    <w:pitch w:val="variable"/>
  </w:font>
  <w:font w:name="DejaVu Sans">
    <w:charset w:val="01"/>
    <w:family w:val="swiss"/>
    <w:pitch w:val="variable"/>
  </w:font>
  <w:font w:name="宋体">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hyperlink" Target="https://manusights.com/blog/cell-formatting-requirements" TargetMode="External"/><Relationship Id="rId5" Type="http://schemas.openxmlformats.org/officeDocument/2006/relationships/hyperlink" Target="https://www.cell.com/cell-genomics/information-for-authors/article-types" TargetMode="External"/><Relationship Id="rId6" Type="http://schemas.openxmlformats.org/officeDocument/2006/relationships/hyperlink" Target="https://manusights.com/blog/cell-formatting-requirements" TargetMode="External"/><Relationship Id="rId7" Type="http://schemas.openxmlformats.org/officeDocument/2006/relationships/hyperlink" Target="https://www.cell.com/multi-journal-submission/authors" TargetMode="External"/><Relationship Id="rId8" Type="http://schemas.openxmlformats.org/officeDocument/2006/relationships/hyperlink" Target="https://www.cell.com/cell/information-for-authors/article-types" TargetMode="External"/><Relationship Id="rId9" Type="http://schemas.openxmlformats.org/officeDocument/2006/relationships/hyperlink" Target="https://dcc.icgc.org/releases/current/Projects/"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comments" Target="comments.xml"/><Relationship Id="rId27" Type="http://schemas.microsoft.com/office/2011/relationships/commentsExtended" Target="commentsExtended.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301</TotalTime>
  <Application>LibreOffice/26.2.2.2$Linux_X86_64 LibreOffice_project/620$Build-2</Application>
  <AppVersion>15.0000</AppVersion>
  <Pages>40</Pages>
  <Words>9559</Words>
  <Characters>57175</Characters>
  <CharactersWithSpaces>66387</CharactersWithSpaces>
  <Paragraphs>414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2026-05-29T08:04:00Z</dcterms:created>
  <dc:creator>Mo Liu</dc:creator>
  <dc:description/>
  <dc:language>en-US</dc:language>
  <cp:lastModifiedBy/>
  <cp:lastPrinted>2025-06-06T09:23:00Z</cp:lastPrinted>
  <dcterms:modified xsi:type="dcterms:W3CDTF">2026-05-29T15:05:15Z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