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480"/>
        <w:jc w:val="start"/>
        <w:rPr/>
      </w:pPr>
      <w:r>
        <w:rPr/>
        <w:t xml:space="preserve">We identified a novel signature that is specific to topoisomerase-1 (TOP1) associated mutagenesis, which was previously thought to be linked to ID4 </w:t>
      </w:r>
      <w:bookmarkStart w:id="0" w:name="ZOTERO_BREF_xeDB1zkV4c3y"/>
      <w:r>
        <w:rPr/>
        <w:t>(Jin et al. 2024; Koh et al. 2025a; Reijns et al. 2022)</w:t>
      </w:r>
      <w:bookmarkEnd w:id="0"/>
      <w:r>
        <w:rPr/>
        <w:t>. We extracted the new signature, InsDel_F / ID_F in all three indel classification schemes, and the difference from InsDel4 / ID4 is clearest in the 476-type scheme.</w:t>
      </w:r>
    </w:p>
    <w:p>
      <w:pPr>
        <w:pStyle w:val="Normal"/>
        <w:bidi w:val="0"/>
        <w:spacing w:lineRule="auto" w:line="480"/>
        <w:jc w:val="start"/>
        <w:rPr/>
      </w:pPr>
      <w:r>
        <w:rPr/>
      </w:r>
    </w:p>
    <w:p>
      <w:pPr>
        <w:pStyle w:val="Normal"/>
        <w:bidi w:val="0"/>
        <w:spacing w:lineRule="auto" w:line="480"/>
        <w:jc w:val="start"/>
        <w:rPr/>
      </w:pPr>
      <w:r>
        <w:rPr/>
        <w:t xml:space="preserve">Here, for the first time, we identified C_ID4 and ID_F, along with their corresponding 89-type representations (InsDel4a, InsDel4b, and InsDel_F), using a de novo extraction approach. Compared to C_ID4, ID_F (corresponding to ID-TOP1-TAM) lacks signals representing the removal of 1–3 bp sequences from regions with more than three repeats or microhomologies. This pattern is also reflected in the 89-type representations: InsDel4a and InsDel4b show a higher proportion of peaks at </w:t>
      </w:r>
      <w:r>
        <w:rPr>
          <w:i/>
          <w:iCs/>
        </w:rPr>
        <w:t>L(3,):U(3,):R(2,9)</w:t>
      </w:r>
      <w:r>
        <w:rPr/>
        <w:t xml:space="preserve">, while InsDelx29/InsDel_F is dominated by the peak at </w:t>
      </w:r>
      <w:r>
        <w:rPr>
          <w:i/>
          <w:iCs/>
        </w:rPr>
        <w:t>L(2,8):U(1,2):R(2,4)</w:t>
      </w:r>
      <w:r>
        <w:rPr/>
        <w:t>.</w:t>
      </w:r>
    </w:p>
    <w:p>
      <w:pPr>
        <w:pStyle w:val="Normal"/>
        <w:bidi w:val="0"/>
        <w:spacing w:lineRule="auto" w:line="480"/>
        <w:jc w:val="start"/>
        <w:rPr/>
      </w:pPr>
      <w:r>
        <w:rPr/>
      </w:r>
    </w:p>
    <w:p>
      <w:pPr>
        <w:pStyle w:val="Normal"/>
        <w:bidi w:val="0"/>
        <w:spacing w:lineRule="auto" w:line="480"/>
        <w:jc w:val="start"/>
        <w:rPr/>
      </w:pPr>
      <w:r>
        <w:rPr/>
      </w:r>
    </w:p>
    <w:p>
      <w:pPr>
        <w:pStyle w:val="Normal"/>
        <w:bidi w:val="0"/>
        <w:spacing w:lineRule="auto" w:line="480"/>
        <w:jc w:val="start"/>
        <w:rPr/>
      </w:pPr>
      <w:r>
        <w:rPr/>
        <w:t>Because 89-type analysis is currently limited to human genomes (Koh et al., 2025), and due to the strong resemblance between InDel29 and InDel4a</w:t>
      </w:r>
      <w:r>
        <w:rPr>
          <w:rFonts w:hint="eastAsia"/>
        </w:rPr>
        <w:t>/4b</w:t>
      </w:r>
      <w:r>
        <w:rPr/>
        <w:t xml:space="preserve"> and their corresponding </w:t>
      </w:r>
      <w:r>
        <w:rPr>
          <w:rFonts w:hint="eastAsia"/>
        </w:rPr>
        <w:t>83-type</w:t>
      </w:r>
      <w:r>
        <w:rPr/>
        <w:t xml:space="preserve"> signatures, we focused </w:t>
      </w:r>
      <w:r>
        <w:rPr>
          <w:rFonts w:hint="eastAsia"/>
        </w:rPr>
        <w:t xml:space="preserve">most of </w:t>
      </w:r>
      <w:r>
        <w:rPr/>
        <w:t>our subsequent analyses specifically on ID_F.</w:t>
      </w:r>
    </w:p>
    <w:p>
      <w:pPr>
        <w:pStyle w:val="Normal"/>
        <w:bidi w:val="0"/>
        <w:spacing w:lineRule="auto" w:line="480"/>
        <w:jc w:val="start"/>
        <w:rPr>
          <w:rFonts w:hint="eastAsia"/>
        </w:rPr>
      </w:pPr>
      <w:r>
        <w:rPr>
          <w:rFonts w:hint="eastAsia"/>
        </w:rPr>
      </w:r>
    </w:p>
    <w:p>
      <w:pPr>
        <w:pStyle w:val="Normal"/>
        <w:bidi w:val="0"/>
        <w:spacing w:lineRule="auto" w:line="480"/>
        <w:jc w:val="start"/>
        <w:rPr/>
      </w:pPr>
      <w:r>
        <w:rPr/>
        <w:t>Upon re-examining the rnh201Δ</w:t>
      </w:r>
      <w:r>
        <w:rPr>
          <w:rFonts w:hint="eastAsia"/>
        </w:rPr>
        <w:t xml:space="preserve"> </w:t>
      </w:r>
      <w:r>
        <w:rPr>
          <w:i/>
          <w:iCs/>
        </w:rPr>
        <w:t>Saccharomyces cerevisiae</w:t>
      </w:r>
      <w:r>
        <w:rPr/>
        <w:t xml:space="preserve"> genomes, we observed 2 bp deletion patterns similar to those of ID_F, although deletions within microhomology were depleted (Williams et al. 2019; Conover et al. 2015</w:t>
      </w:r>
      <w:r>
        <w:rPr>
          <w:rFonts w:hint="eastAsia"/>
        </w:rPr>
        <w:t>, Figures S8</w:t>
      </w:r>
      <w:r>
        <w:rPr/>
        <w:t>).</w:t>
      </w:r>
      <w:r>
        <w:rPr>
          <w:rFonts w:hint="eastAsia"/>
        </w:rPr>
        <w:t xml:space="preserve"> </w:t>
      </w:r>
      <w:r>
        <w:rPr/>
        <w:t xml:space="preserve">The primary peak predominantly represents the deletion of CT from 5’-CTCT-3’ (or AG from 5’-AGAG-3’), as indicated by the extended sequence analysis of </w:t>
      </w:r>
      <w:r>
        <w:rPr>
          <w:strike/>
        </w:rPr>
        <w:t>RNASEH2B-KO cell lines and</w:t>
      </w:r>
      <w:r>
        <w:rPr/>
        <w:t xml:space="preserve"> </w:t>
      </w:r>
      <w:r>
        <w:rPr>
          <w:rFonts w:hint="eastAsia"/>
        </w:rPr>
        <w:t xml:space="preserve">the </w:t>
      </w:r>
      <w:r>
        <w:rPr/>
        <w:t xml:space="preserve">five </w:t>
      </w:r>
      <w:r>
        <w:rPr>
          <w:rFonts w:hint="eastAsia"/>
        </w:rPr>
        <w:t>genomes</w:t>
      </w:r>
      <w:r>
        <w:rPr/>
        <w:t xml:space="preserve"> exhibiting the highest ID_F activity.</w:t>
      </w:r>
      <w:r>
        <w:rPr>
          <w:rFonts w:hint="eastAsia"/>
        </w:rPr>
        <w:t xml:space="preserve"> The weights of each </w:t>
      </w:r>
      <w:r>
        <w:rPr/>
        <w:t>nucleotide</w:t>
      </w:r>
      <w:r>
        <w:rPr>
          <w:rFonts w:hint="eastAsia"/>
        </w:rPr>
        <w:t xml:space="preserve"> on each position </w:t>
      </w:r>
      <w:r>
        <w:rPr/>
        <w:t>suggest</w:t>
      </w:r>
      <w:r>
        <w:rPr>
          <w:rFonts w:hint="eastAsia"/>
        </w:rPr>
        <w:t xml:space="preserve"> a preference of CTCT(deletion from repeats) or NTNT (deletion with microhomology) sequences at deletion sites for ID_F, while NTNT (deletion from repeats) and CTNT (deletion from microhomology) at deletion sites for C_ID4 (Figure 8C). T</w:t>
      </w:r>
      <w:r>
        <w:rPr/>
        <w:t xml:space="preserve">umors exhibiting high Hx_ID29/ID_F activity show deletion sequences that closely resemble those observed in </w:t>
      </w:r>
      <w:r>
        <w:rPr>
          <w:strike/>
        </w:rPr>
        <w:t xml:space="preserve">RNASEH2B null HEK293T cells, as well as in </w:t>
      </w:r>
      <w:r>
        <w:rPr/>
        <w:t>Rnaseh2b knockout mouse tumors and RNaseH2</w:t>
      </w:r>
      <w:r>
        <w:rPr>
          <w:rFonts w:hint="eastAsia"/>
        </w:rPr>
        <w:t>-</w:t>
      </w:r>
      <w:r>
        <w:rPr/>
        <w:t>null RPE1 cells (Figure</w:t>
      </w:r>
      <w:r>
        <w:rPr>
          <w:rFonts w:hint="eastAsia"/>
        </w:rPr>
        <w:t xml:space="preserve"> S6, Figure S9</w:t>
      </w:r>
      <w:r>
        <w:rPr/>
        <w:t>). In contrast, C_ID4 displays a more balanced preference for deleting CT and TT within tandem repeats, with a prevalent CTNTN motif found in microhomologies (</w:t>
      </w:r>
      <w:r>
        <w:rPr>
          <w:rFonts w:hint="eastAsia"/>
        </w:rPr>
        <w:t xml:space="preserve">Figure 8C, </w:t>
      </w:r>
      <w:r>
        <w:rPr/>
        <w:t>Figure</w:t>
      </w:r>
      <w:r>
        <w:rPr>
          <w:rFonts w:hint="eastAsia"/>
        </w:rPr>
        <w:t xml:space="preserve"> S9</w:t>
      </w:r>
      <w:r>
        <w:rPr/>
        <w:t>).</w:t>
      </w:r>
    </w:p>
    <w:p>
      <w:pPr>
        <w:pStyle w:val="Normal"/>
        <w:bidi w:val="0"/>
        <w:spacing w:lineRule="auto" w:line="480"/>
        <w:jc w:val="start"/>
        <w:rPr/>
      </w:pPr>
      <w:r>
        <w:rPr/>
        <w:t xml:space="preserve">Collectively, </w:t>
      </w:r>
      <w:r>
        <w:rPr>
          <w:rFonts w:hint="eastAsia"/>
        </w:rPr>
        <w:t>our analysis</w:t>
      </w:r>
      <w:r>
        <w:rPr/>
        <w:t xml:space="preserve"> presents ID_F </w:t>
      </w:r>
      <w:r>
        <w:rPr>
          <w:rFonts w:hint="eastAsia"/>
        </w:rPr>
        <w:t xml:space="preserve">and InsDel_F </w:t>
      </w:r>
      <w:r>
        <w:rPr/>
        <w:t xml:space="preserve">as </w:t>
      </w:r>
      <w:r>
        <w:rPr>
          <w:rFonts w:hint="eastAsia"/>
        </w:rPr>
        <w:t>two</w:t>
      </w:r>
      <w:r>
        <w:rPr/>
        <w:t xml:space="preserve"> novel mutational signatures identified through de novo extraction from cancer genomic dat</w:t>
      </w:r>
      <w:r>
        <w:rPr>
          <w:rFonts w:hint="eastAsia"/>
        </w:rPr>
        <w:t>a, su</w:t>
      </w:r>
      <w:r>
        <w:rPr/>
        <w:t>ggesting its association with TOP1-dependent deletions in RNASEH2A and/or RNASEH2B deficient cells. Previous work by Reijns et al. developed RNASEH2A-deficient mammalian cell lines and Rnaseh2b-KO mouse intestinal cancer models, revealing the enrichment of 2 bp deletions from tandem repeats or microhomology (Reijns et al. 2022</w:t>
      </w:r>
      <w:r>
        <w:rPr>
          <w:rFonts w:hint="eastAsia"/>
        </w:rPr>
        <w:t>, Figure S9B, C</w:t>
      </w:r>
      <w:r>
        <w:rPr/>
        <w:t>). Our findings indicate that ID_F more closely resembles the mutational spectra from these knockout models than ID4, with average cosine similarities of 0.945 in mouse models, 0.965 in human cell line models, and 0.947 in yeast models, compared to C_ID4’s average cosine similarities of 0.690, 0.721, and 0.798 (</w:t>
      </w:r>
      <w:r>
        <w:rPr>
          <w:rFonts w:hint="eastAsia"/>
        </w:rPr>
        <w:t>Figure S8 B-D</w:t>
      </w:r>
      <w:r>
        <w:rPr/>
        <w:t xml:space="preserve">). </w:t>
      </w:r>
      <w:r>
        <w:rPr>
          <w:rFonts w:hint="eastAsia"/>
        </w:rPr>
        <w:t xml:space="preserve">Compared to ID4, ID_F shows </w:t>
      </w:r>
      <w:r>
        <w:rPr/>
        <w:t>an</w:t>
      </w:r>
      <w:r>
        <w:rPr>
          <w:rFonts w:hint="eastAsia"/>
        </w:rPr>
        <w:t xml:space="preserve"> almost depletion of long deletions (deletion length≥3) at repeats and microhomologies (Figure S6A). ID_F contributes to more mutations </w:t>
      </w:r>
      <w:r>
        <w:rPr/>
        <w:t xml:space="preserve">in </w:t>
      </w:r>
      <w:r>
        <w:rPr>
          <w:rFonts w:hint="eastAsia"/>
        </w:rPr>
        <w:t>transcribed regions compared to untranscribed regions</w:t>
      </w:r>
      <w:r>
        <w:rPr>
          <w:rFonts w:hint="eastAsia"/>
          <w:strike/>
        </w:rPr>
        <w:t xml:space="preserve"> </w:t>
      </w:r>
      <w:r>
        <w:rPr>
          <w:rFonts w:hint="eastAsia"/>
        </w:rPr>
        <w:t>(Figure 8D)</w:t>
      </w:r>
      <w:r>
        <w:rPr>
          <w:rFonts w:hint="eastAsia"/>
          <w:strike/>
        </w:rPr>
        <w:t>.</w:t>
      </w:r>
      <w:r>
        <w:rPr>
          <w:rFonts w:hint="eastAsia"/>
        </w:rPr>
        <w:t xml:space="preserve"> The consistent observations </w:t>
      </w:r>
      <w:r>
        <w:rPr/>
        <w:t>suggest</w:t>
      </w:r>
      <w:r>
        <w:rPr>
          <w:rFonts w:hint="eastAsia"/>
        </w:rPr>
        <w:t xml:space="preserve"> ID_F is associated with a transcription associated mutational process. </w:t>
      </w:r>
      <w:r>
        <w:rPr/>
        <w:t>ID_F</w:t>
      </w:r>
      <w:r>
        <w:rPr>
          <w:rFonts w:hint="eastAsia"/>
        </w:rPr>
        <w:t xml:space="preserve"> and InsDel_F</w:t>
      </w:r>
      <w:r>
        <w:rPr/>
        <w:t xml:space="preserve"> provides a more accurate representation of the genomic footprints associated with TOP1-TAM (transcription-associated mutagenesis) during the cleavage of embedded ribonucleotides in the absence of RNASEH2A and/or RNASEH2B (S. N. Huang, Ghosh, and Pommier 2015; Sparks and Burgers 2015; Chon et al. 2009).</w:t>
      </w:r>
    </w:p>
    <w:p>
      <w:pPr>
        <w:pStyle w:val="Heading2"/>
        <w:bidi w:val="0"/>
        <w:spacing w:lineRule="auto" w:line="48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Normal"/>
    <w:next w:val="Normal"/>
    <w:qFormat/>
    <w:pPr>
      <w:keepNext w:val="true"/>
      <w:keepLines/>
      <w:spacing w:before="40" w:after="0"/>
      <w:ind w:hanging="0"/>
      <w:outlineLvl w:val="1"/>
    </w:pPr>
    <w:rPr>
      <w:b/>
      <w:bCs/>
      <w:i/>
      <w:iCs/>
      <w:color w:themeColor="dark1" w:val="00000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801</TotalTime>
  <Application>LibreOffice/25.8.4.2$Linux_X86_64 LibreOffice_project/580$Build-2</Application>
  <AppVersion>15.0000</AppVersion>
  <Pages>2</Pages>
  <Words>565</Words>
  <Characters>3307</Characters>
  <CharactersWithSpaces>3866</CharactersWithSpaces>
  <Paragraphs>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2026-01-17T20:37:51Z</dcterms:created>
  <dc:creator/>
  <dc:description/>
  <dc:language>en-US</dc:language>
  <cp:lastModifiedBy/>
  <dcterms:modified xsi:type="dcterms:W3CDTF">2026-01-19T22:45:28Z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