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w:t>
      </w:r>
      <w:r>
        <w:rPr/>
        <w:t>76</w:t>
      </w:r>
      <w:r>
        <w:rPr/>
        <w:t xml:space="preserve">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w:t>
      </w:r>
      <w:r>
        <w:rPr/>
        <w:t>4</w:t>
      </w:r>
      <w:r>
        <w:rPr/>
        <w:t xml:space="preserve"> mutational signatures </w:t>
      </w:r>
      <w:r>
        <w:rPr/>
        <w:t xml:space="preserve">in the </w:t>
      </w:r>
      <w:r>
        <w:rPr/>
        <w:t xml:space="preserve">89-type classification </w:t>
      </w:r>
      <w:r>
        <w:rPr/>
        <w:t>and corresponding s</w:t>
      </w:r>
      <w:r>
        <w:rPr>
          <w:shd w:fill="FFFF00" w:val="clear"/>
        </w:rPr>
        <w:t>ignatures in the</w:t>
      </w:r>
      <w:r>
        <w:rPr>
          <w:shd w:fill="FFFF00" w:val="clear"/>
        </w:rPr>
        <w:t xml:space="preserve"> 476-type classification.</w:t>
      </w:r>
      <w:r>
        <w:rPr/>
        <w:t xml:space="preserve"> Of these, to our knowledge, similar </w:t>
      </w:r>
      <w:r>
        <w:rPr/>
        <w:t xml:space="preserve">89-type </w:t>
      </w:r>
      <w:r>
        <w:rPr/>
        <w:t xml:space="preserve">signatures were previously described for 18. Lossless algorithmic translation between signatures in the 83-type and the two new classification schemes is impossible. However, we leveraged tumor mutational spectra dominated by individual signatures to exhaustively elucidate </w:t>
      </w:r>
      <w:r>
        <w:rPr/>
        <w:t>the</w:t>
      </w:r>
      <w:r>
        <w:rPr/>
        <w:t xml:space="preserve"> correspondences between signatures in the three classification schemes. </w:t>
      </w:r>
      <w:r>
        <w:rPr/>
        <w:t>Nevertheless</w:t>
      </w:r>
      <w:r>
        <w:rPr/>
        <w:t xml:space="preserve">, the new classification schemes are in most cases superior, in that they detect differences between spectra and signatures that the 83-type classification does not. We provide a web site for exploring indel signatures </w:t>
      </w:r>
      <w:r>
        <w:rPr/>
        <w:t>and their</w:t>
      </w:r>
      <w:r>
        <w:rPr/>
        <w:t xml:space="preserve"> relationships </w:t>
      </w:r>
      <w:r>
        <w:rPr/>
        <w:t>across</w:t>
      </w:r>
      <w:r>
        <w:rPr/>
        <w:t xml:space="preserve"> the three classifications, </w:t>
      </w:r>
      <w:r>
        <w:rPr/>
        <w:t xml:space="preserve">as well as </w:t>
      </w:r>
      <w:r>
        <w:rPr>
          <w:shd w:fill="FFFF00" w:val="clear"/>
        </w:rPr>
        <w:t>signatures’ presence in tumors</w:t>
      </w:r>
      <w:r>
        <w:rPr/>
        <w:t xml:space="preserve"> and signatures’ relationships to genomic topography. </w:t>
      </w:r>
    </w:p>
    <w:p>
      <w:pPr>
        <w:pStyle w:val="normalfirst"/>
        <w:rPr/>
      </w:pPr>
      <w:r>
        <w:rPr/>
        <w:t>(Currently 25</w:t>
      </w:r>
      <w:r>
        <w:rPr/>
        <w:t>4</w:t>
      </w:r>
      <w:r>
        <w:rPr/>
        <w:t xml:space="preserve"> words)</w:t>
      </w:r>
    </w:p>
    <w:p>
      <w:pPr>
        <w:pStyle w:val="normalfirst"/>
        <w:rPr/>
      </w:pPr>
      <w:r>
        <w:rPr/>
      </w:r>
    </w:p>
    <w:p>
      <w:pPr>
        <w:pStyle w:val="normalfirst"/>
        <w:rPr/>
      </w:pPr>
      <w:r>
        <w:rPr/>
      </w:r>
    </w:p>
    <w:p>
      <w:pPr>
        <w:pStyle w:val="normalfirst"/>
        <w:rPr/>
      </w:pPr>
      <w:r>
        <w:rPr/>
      </w:r>
    </w:p>
    <w:p>
      <w:pPr>
        <w:pStyle w:val="Normal"/>
        <w:rPr/>
      </w:pPr>
      <w:r>
        <w:rPr/>
        <w:t xml:space="preserve">NOTES </w:t>
      </w:r>
      <w:r>
        <w:rPr/>
        <w:t>On possible journals</w:t>
      </w:r>
      <w:r>
        <w:rPr/>
        <w:t xml:space="preserve">: abstract word limits:, nat genet abst limit 150, 4000 words 8 display items;  cancer research, 250 words; cancer discovery 150 words; cell genomics, 150 words; genome research 250 words; </w:t>
      </w:r>
      <w:r>
        <w:rPr>
          <w:shd w:fill="FFFF00" w:val="clear"/>
        </w:rPr>
        <w:t>Elife? Cell / cell genomics resource? https://share.google/aimode/QKRo26NUhoR9S8WBd</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xml:space="preserve">.  </w:t>
      </w:r>
      <w:r>
        <w:rPr>
          <w:shd w:fill="FFFF00" w:val="clear"/>
        </w:rPr>
        <w:t>NOTE THERE IS A DUPLICATE for Koh et al.</w:t>
      </w:r>
      <w:r>
        <w:rPr/>
        <w:t>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M</w:t>
      </w:r>
      <w:r>
        <w:rPr/>
        <w:t xml:space="preserve">utational signature research has tended to </w:t>
      </w:r>
      <w:r>
        <w:rPr/>
        <w:t xml:space="preserve">focus less on indel rather than </w:t>
      </w:r>
      <w:r>
        <w:rPr/>
        <w:t xml:space="preserve">SBS </w:t>
      </w:r>
      <w:r>
        <w:rPr/>
        <w:t>signatures, and symptomatic of this COSMIC v3.5 catalogs only 25 indel signatures compared to 78 SBS signatures.</w:t>
      </w:r>
      <w:r>
        <w:rPr/>
        <w:t xml:space="preserve"> </w:t>
      </w:r>
      <w:r>
        <w:rPr/>
        <w:t xml:space="preserve">Nevertheless, </w:t>
      </w:r>
      <w:r>
        <w:rPr/>
        <w:t xml:space="preserve">indel signatures </w:t>
      </w:r>
      <w:r>
        <w:rPr/>
        <w:t xml:space="preserve">can </w:t>
      </w:r>
      <w:r>
        <w:rPr/>
        <w:t xml:space="preserve">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 xml:space="preserve">The </w:t>
      </w:r>
      <w:r>
        <w:rPr/>
        <w:t>older,</w:t>
      </w:r>
      <w:r>
        <w:rPr/>
        <w:t xml:space="preserve"> 83-type scheme primarily categorizes indels based on the number of bases inserted or deleted, and for single-base insertions and deletions the identity of the deleted or inserted base (conventionally shown as pyrimidines, C or T) </w:t>
      </w:r>
      <w:r>
        <w:rPr>
          <w:shd w:fill="FFFF00" w:val="clear"/>
        </w:rPr>
        <w:t>&lt;make a zenodo doi for this&gt;</w:t>
      </w:r>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w:t>
      </w:r>
      <w:r>
        <w:rPr/>
        <w:t xml:space="preserve">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shd w:fill="FFFF00" w:val="clear"/>
        </w:rPr>
        <w:t>&lt;</w:t>
      </w:r>
      <w:r>
        <w:rPr>
          <w:shd w:fill="FFFF00" w:val="clear"/>
        </w:rPr>
        <w:t xml:space="preserve">possibly delete this paragraph and put this in the vignette, in which case we can delete fig 1c, d&gt; </w:t>
      </w: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rFonts w:eastAsia="宋体" w:hint="eastAsia"/>
        </w:rPr>
      </w:pPr>
      <w:commentRangeStart w:id="0"/>
      <w:r>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commentRangeEnd w:id="0"/>
      <w:r>
        <w:commentReference w:id="0"/>
      </w:r>
      <w:r>
        <w:rPr>
          <w:rFonts w:eastAsia="宋体" w:hint="eastAsia"/>
        </w:rPr>
      </w:r>
    </w:p>
    <w:p>
      <w:pPr>
        <w:pStyle w:val="Normal"/>
        <w:rPr>
          <w:strike/>
        </w:rPr>
      </w:pPr>
      <w:r>
        <w:rPr>
          <w:rFonts w:eastAsia="宋体" w:hint="eastAsia"/>
        </w:rPr>
        <w:t xml:space="preserve">. </w:t>
      </w:r>
      <w:r>
        <w:rPr>
          <w:rFonts w:eastAsia="宋体" w:hint="eastAsia"/>
          <w:strike/>
        </w:rPr>
        <w:t>We evaluated the activity of 83-type and 89-type signatures using SigProfilerAssignment</w:t>
      </w:r>
      <w:r>
        <w:rPr>
          <w:strike/>
        </w:rPr>
        <w:t xml:space="preserve">We evaluated the activity of </w:t>
      </w:r>
      <w:r>
        <w:rPr>
          <w:rFonts w:hint="eastAsia"/>
          <w:strike/>
        </w:rPr>
        <w:t>83-type and 89-type</w:t>
      </w:r>
      <w:r>
        <w:rPr>
          <w:strike/>
        </w:rPr>
        <w:t xml:space="preserve"> signatures &lt;what about 476?&gt; using mSigAct, a tool </w:t>
      </w:r>
      <w:r>
        <w:rPr>
          <w:rFonts w:hint="eastAsia"/>
          <w:strike/>
        </w:rPr>
        <w:t xml:space="preserve">incorporating statistical analysis for the presence of a given signature </w:t>
      </w:r>
      <w:bookmarkStart w:id="16" w:name="ZOTERO_BREF_Icd6wZN2C4n7"/>
      <w:r>
        <w:rPr>
          <w:strike/>
        </w:rPr>
        <w:t>(Jiang et al. 2024)</w:t>
      </w:r>
      <w:bookmarkEnd w:id="16"/>
      <w:r>
        <w:rPr>
          <w:strike/>
        </w:rPr>
        <w:t xml:space="preserve">. Tumors with high TMB often exhibit </w:t>
      </w:r>
      <w:r>
        <w:rPr>
          <w:rFonts w:hint="eastAsia"/>
          <w:strike/>
        </w:rPr>
        <w:t xml:space="preserve">large amounts of </w:t>
      </w:r>
      <w:r>
        <w:rPr>
          <w:strike/>
        </w:rPr>
        <w:t xml:space="preserve">1 bp T deletions and/or insertions in polyT sequences (DEL:T:1:5+ and/or INS:T:1:5+). These predominant peaks can obscure other signals, affecting the accuracy of signature assignment analysis. To address this, we propose a </w:t>
      </w:r>
      <w:r>
        <w:rPr>
          <w:rFonts w:hint="eastAsia"/>
          <w:strike/>
        </w:rPr>
        <w:t>novel</w:t>
      </w:r>
      <w:r>
        <w:rPr>
          <w:strike/>
        </w:rPr>
        <w:t xml:space="preserve"> approach for analyzing signature assignments </w:t>
      </w:r>
      <w:r>
        <w:rPr>
          <w:rFonts w:hint="eastAsia"/>
          <w:strike/>
        </w:rPr>
        <w:t xml:space="preserve">specialized for 83-type spectra: </w:t>
      </w:r>
      <w:r>
        <w:rPr>
          <w:rFonts w:hint="eastAsia"/>
          <w:strike/>
          <w:shd w:fill="FFFF00" w:val="clear"/>
        </w:rPr>
        <w:t>&lt;Mo to provide sup fig showing this&gt;</w:t>
      </w:r>
      <w:r>
        <w:rPr>
          <w:strike/>
        </w:rPr>
        <w:t xml:space="preserve"> </w:t>
      </w:r>
      <w:r>
        <w:rPr>
          <w:rFonts w:hint="eastAsia"/>
          <w:strike/>
        </w:rPr>
        <w:t>f</w:t>
      </w:r>
      <w:r>
        <w:rPr>
          <w:strike/>
        </w:rPr>
        <w:t xml:space="preserve">irst, we removed DEL:T:1:5+ and INS:T:1:5+ mutations to enhance the visibility of other peaks, resulting in </w:t>
      </w:r>
      <w:r>
        <w:rPr>
          <w:rFonts w:hint="eastAsia"/>
          <w:strike/>
        </w:rPr>
        <w:t xml:space="preserve">Indel81 </w:t>
      </w:r>
      <w:r>
        <w:rPr>
          <w:strike/>
        </w:rPr>
        <w:t xml:space="preserve">catalogs/signatures. Next, these </w:t>
      </w:r>
      <w:r>
        <w:rPr>
          <w:rFonts w:hint="eastAsia"/>
          <w:strike/>
        </w:rPr>
        <w:t xml:space="preserve">Indel81 </w:t>
      </w:r>
      <w:r>
        <w:rPr>
          <w:strike/>
        </w:rPr>
        <w:t xml:space="preserve">catalogs were reconstructed from the </w:t>
      </w:r>
      <w:r>
        <w:rPr>
          <w:rFonts w:hint="eastAsia"/>
          <w:strike/>
        </w:rPr>
        <w:t xml:space="preserve">Indel81 </w:t>
      </w:r>
      <w:r>
        <w:rPr>
          <w:strike/>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1"/>
      <w:r>
        <w:rPr>
          <w:shd w:fill="FFFF00" w:val="clear"/>
        </w:rPr>
        <w:t>&lt;need to show this&gt; 8</w:t>
      </w:r>
      <w:r>
        <w:rPr/>
        <w:t xml:space="preserve">9-type signature assignments revealed strong concordance with the 83-type signatures when a one-to-one mapping was present. </w:t>
      </w:r>
      <w:r>
        <w:rPr/>
      </w:r>
      <w:commentRangeEnd w:id="1"/>
      <w:r>
        <w:commentReference w:id="1"/>
      </w:r>
      <w:r>
        <w:rPr/>
        <w:t>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 w:hAnsi="system-ui;apple-system;Segoe UI"/>
          <w:color w:val="212529"/>
          <w:sz w:val="23"/>
        </w:rPr>
        <w:t>Lymphoid::CPCT02120032T /</w:t>
      </w:r>
      <w:r>
        <w:rPr>
          <w:rFonts w:ascii="system-ui;apple-system;Segoe UI" w:hAnsi="system-ui;apple-system;Segoe UI"/>
          <w:color w:val="212529"/>
          <w:sz w:val="23"/>
          <w:shd w:fill="FFFF00" w:val="clear"/>
        </w:rPr>
        <w:t xml:space="preserve"> maybe look at the  del&gt;=2</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7 somewhat impoverished for G….., peaks at R8/9; some insT, some del2:u2:R5/9, Ins2:u2(R5,9) – do these really go higher? Look at Uterus::SP94741/</w:t>
      </w:r>
      <w:r>
        <w:rPr>
          <w:rFonts w:ascii="system-ui;apple-system;Segoe UI" w:hAnsi="system-ui;apple-system;Segoe UI"/>
          <w:color w:val="212529"/>
          <w:sz w:val="23"/>
          <w:shd w:fill="FFFF00" w:val="clear"/>
        </w:rPr>
        <w:t xml:space="preserve"> maybe look at the  del&gt;=2</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J T del in longest class of poly T, 2 bp deletions in very long 2-bp tracts; differs from N because of del of 2 in 5 and 6+ and presence of del3 / 4 repeats and Del4 3 repeats </w:t>
      </w:r>
      <w:r>
        <w:rPr>
          <w:rFonts w:ascii="system-ui;apple-system;Segoe UI" w:hAnsi="system-ui;apple-system;Segoe UI"/>
          <w:color w:val="212529"/>
          <w:sz w:val="23"/>
          <w:shd w:fill="FF4000" w:val="clear"/>
        </w:rPr>
        <w:t>definitely look at the  del&gt;=2 also for N</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K_beta – POLE …. </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InsDel_O, ins T in longest 2 groups, plus ins2:U2:R5+ </w:t>
      </w:r>
      <w:r>
        <w:rPr>
          <w:rFonts w:ascii="system-ui;apple-system;Segoe UI" w:hAnsi="system-ui;apple-system;Segoe UI"/>
          <w:color w:val="212529"/>
          <w:sz w:val="23"/>
          <w:shd w:fill="FF4000" w:val="clear"/>
        </w:rPr>
        <w:t>definitely look at the  ins&gt;=2 also for N</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InsDelP ~= InD21, MMR + POLE</w:t>
      </w:r>
    </w:p>
    <w:p>
      <w:pPr>
        <w:pStyle w:val="Normal"/>
        <w:ind w:hanging="0"/>
        <w:rPr>
          <w:rFonts w:ascii="system-ui;apple-system;Segoe UI" w:hAnsi="system-ui;apple-system;Segoe UI"/>
          <w:color w:val="212529"/>
          <w:sz w:val="23"/>
        </w:rPr>
      </w:pPr>
      <w:r>
        <w:rPr>
          <w:rFonts w:ascii="system-ui;apple-system;Segoe UI" w:hAnsi="system-ui;apple-system;Segoe UI"/>
          <w:color w:val="212529"/>
          <w:sz w:val="23"/>
        </w:rPr>
        <w:t>ADD POLE/POLD</w:t>
      </w:r>
    </w:p>
    <w:p>
      <w:pPr>
        <w:pStyle w:val="Normal"/>
        <w:numPr>
          <w:ilvl w:val="0"/>
          <w:numId w:val="0"/>
        </w:numPr>
        <w:ind w:hanging="0" w:start="0"/>
        <w:rPr>
          <w:rFonts w:ascii="system-ui;apple-system;Segoe UI" w:hAnsi="system-ui;apple-system;Segoe UI"/>
          <w:color w:val="212529"/>
          <w:sz w:val="23"/>
        </w:rPr>
      </w:pPr>
      <w:r>
        <w:rPr>
          <w:rFonts w:ascii="system-ui;apple-system;Segoe UI" w:hAnsi="system-ui;apple-system;Segoe UI"/>
          <w:color w:val="212529"/>
          <w:sz w:val="23"/>
        </w:rPr>
      </w:r>
    </w:p>
    <w:p>
      <w:pPr>
        <w:pStyle w:val="Heading2"/>
        <w:rPr/>
      </w:pPr>
      <w:r>
        <w:rPr/>
        <w:t>New indel type classifications reveal a more accurate signature of RNase H2 deficiency</w:t>
      </w:r>
    </w:p>
    <w:p>
      <w:pPr>
        <w:pStyle w:val="Normal"/>
        <w:ind w:hanging="0"/>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 Koh et al. 2025a; Reijns et al. 2022)</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fill="FF4000" w:val="clear"/>
        </w:rPr>
        <w:t>TCTTCT → TCT</w:t>
      </w:r>
      <w:r>
        <w:rPr/>
        <w:t>, GTTTGTTT → GTTT). The spectra in RNase H2 deficient cell lines consist of signatures due to mutational processes intrinsic to the parental cell line combined with high proportions of mutations characteristic of InsDel_F. Like InsDel_F, these cell-line spectra conspicuously lack the 3 and 4 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highlight w:val="none"/>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53:00Z" w:initials="ML">
    <w:p>
      <w:pPr>
        <w:overflowPunct w:val="true"/>
        <w:spacing w:lineRule="auto" w:line="240" w:before="0" w:after="0"/>
        <w:rPr/>
      </w:pPr>
      <w:r>
        <w:annotationRef/>
      </w:r>
      <w:r>
        <w:rPr>
          <w:rFonts w:cs="Noto Sans Arabic UI" w:ascii="Liberation Serif" w:hAnsi="Liberation Serif"/>
          <w:lang w:val="en-US" w:eastAsia="en-US" w:bidi="en-US"/>
        </w:rPr>
        <w:t>Mo wrote this part. Please remove the text with strikes if you accept the changes. Thank you</w:t>
      </w:r>
    </w:p>
  </w:comment>
  <w:comment w:id="1" w:author="Mo Liu" w:date="2026-03-24T10:49:00Z" w:initials="ML">
    <w:p>
      <w:pPr>
        <w:overflowPunct w:val="true"/>
        <w:spacing w:lineRule="auto" w:line="240" w:before="0" w:after="0"/>
        <w:rPr/>
      </w:pPr>
      <w:r>
        <w:annotationRef/>
      </w:r>
      <w:r>
        <w:rPr>
          <w:rFonts w:cs="Noto Sans Arabic UI" w:ascii="Liberation Serif" w:hAnsi="Liberation Serif"/>
          <w:lang w:val="en-US" w:eastAsia="en-US" w:bidi="en-US"/>
        </w:rPr>
        <w:t>The 172 approach theoretically would have strong concordance. Do we need to show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system-ui">
    <w:altName w:val="apple-system"/>
    <w:charset w:val="01" w:characterSet="utf-8"/>
    <w:family w:val="roman"/>
    <w:pitch w:val="variable"/>
  </w:font>
  <w:font w:name="宋体">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LibreOffice/25.8.5.2$Linux_X86_64 LibreOffice_project/580$Build-2</Application>
  <AppVersion>15.0000</AppVersion>
  <Pages>30</Pages>
  <Words>6923</Words>
  <Characters>42356</Characters>
  <CharactersWithSpaces>49150</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2026-03-24T02:32:00Z</dcterms:created>
  <dc:creator>Mo Liu</dc:creator>
  <dc:description/>
  <dc:language>en-US</dc:language>
  <cp:lastModifiedBy/>
  <cp:lastPrinted>2025-06-06T09:23:00Z</cp:lastPrinted>
  <dcterms:modified xsi:type="dcterms:W3CDTF">2026-04-01T21:07:01Z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