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Single-thymine indels in poly-T tracts in MSS tumors</w:t>
      </w:r>
    </w:p>
    <w:p>
      <w:pPr>
        <w:pStyle w:val="normalfirst"/>
        <w:rPr/>
      </w:pPr>
      <w:r>
        <w:rPr>
          <w:rFonts w:eastAsia="Times New Roman"/>
        </w:rPr>
        <w:t>Both HDP and NMF-based de novo signature discovery methods</w:t>
      </w:r>
      <w:r>
        <w:rPr>
          <w:rFonts w:eastAsia="Times New Roman"/>
        </w:rPr>
        <w:t xml:space="preserve"> identified </w:t>
      </w:r>
      <w:r>
        <w:rPr>
          <w:rFonts w:eastAsia="Times New Roman"/>
        </w:rPr>
        <w:t xml:space="preserve">83-, </w:t>
      </w:r>
      <w:r>
        <w:rPr>
          <w:rFonts w:eastAsia="Times New Roman"/>
        </w:rPr>
        <w:t xml:space="preserve">89-, </w:t>
      </w:r>
      <w:r>
        <w:rPr>
          <w:rFonts w:eastAsia="Times New Roman"/>
        </w:rPr>
        <w:t>and 476-</w:t>
      </w:r>
      <w:r>
        <w:rPr>
          <w:rFonts w:eastAsia="Times New Roman"/>
        </w:rPr>
        <w:t>type signatures</w:t>
      </w:r>
      <w:r>
        <w:rPr>
          <w:rFonts w:eastAsia="Times New Roman"/>
        </w:rPr>
        <w:t xml:space="preserve"> that</w:t>
      </w:r>
      <w:r>
        <w:rPr>
          <w:rFonts w:eastAsia="Times New Roman"/>
        </w:rPr>
        <w:t xml:space="preserve"> have similar proportions of deletions and insertions of single thymines in poly-T tracts </w:t>
      </w:r>
      <w:r>
        <w:rPr>
          <w:rFonts w:eastAsia="Times New Roman"/>
        </w:rPr>
        <w:t>and that occur almost exclusively in MSS</w:t>
      </w:r>
      <w:r>
        <w:rPr>
          <w:rFonts w:eastAsia="Times New Roman"/>
        </w:rPr>
        <w:t xml:space="preserve"> </w:t>
      </w:r>
      <w:r>
        <w:rPr>
          <w:rFonts w:eastAsia="Times New Roman"/>
        </w:rPr>
        <w:t>tumors</w:t>
      </w:r>
      <w:r>
        <w:rPr>
          <w:rFonts w:eastAsia="Times New Roman"/>
        </w:rPr>
        <w:t xml:space="preserve">. </w:t>
      </w:r>
      <w:r>
        <w:rPr>
          <w:rFonts w:eastAsia="Times New Roman"/>
        </w:rPr>
        <w:t xml:space="preserve">Previous analysis in the 83-type system allocated </w:t>
      </w:r>
      <w:r>
        <w:rPr>
          <w:rFonts w:eastAsia="Times New Roman"/>
        </w:rPr>
        <w:t xml:space="preserve">insertions and deletions </w:t>
      </w:r>
      <w:r>
        <w:rPr>
          <w:rFonts w:eastAsia="Times New Roman"/>
        </w:rPr>
        <w:t>separately to ID</w:t>
      </w:r>
      <w:r>
        <w:rPr>
          <w:rFonts w:eastAsia="Times New Roman"/>
        </w:rPr>
        <w:t>1</w:t>
      </w:r>
      <w:r>
        <w:rPr>
          <w:rFonts w:eastAsia="Times New Roman"/>
        </w:rPr>
        <w:t xml:space="preserve"> and ID</w:t>
      </w:r>
      <w:r>
        <w:rPr>
          <w:rFonts w:eastAsia="Times New Roman"/>
        </w:rPr>
        <w:t>2</w:t>
      </w:r>
      <w:r>
        <w:rPr>
          <w:rFonts w:eastAsia="Times New Roman"/>
        </w:rPr>
        <w:t xml:space="preserve"> </w:t>
      </w:r>
      <w:r>
        <w:rPr>
          <w:rFonts w:eastAsia="Times New Roman"/>
        </w:rPr>
        <w:t>and did not differentiate between signature occurrence in MSS versus MSI-H</w:t>
      </w:r>
      <w:r>
        <w:rPr>
          <w:rFonts w:eastAsia="Times New Roman"/>
        </w:rPr>
        <w:t xml:space="preserve"> </w:t>
      </w:r>
      <w:bookmarkStart w:id="19" w:name="ZOTERO_BREF_YU0vhT0bGj2b"/>
      <w:r>
        <w:rPr>
          <w:rFonts w:eastAsia="Times New Roman"/>
        </w:rPr>
        <w:t>(Alexandrov et al. 2020b)</w:t>
      </w:r>
      <w:bookmarkEnd w:id="19"/>
      <w:r>
        <w:rPr>
          <w:rFonts w:eastAsia="Times New Roman"/>
        </w:rPr>
        <w:t xml:space="preserve">. </w:t>
      </w:r>
      <w:r>
        <w:rPr>
          <w:rFonts w:eastAsia="Times New Roman"/>
        </w:rPr>
        <w:t xml:space="preserve">The new signature occur in 2 variants in the 89- and 476-type indel classifications. One variantt, </w:t>
      </w:r>
      <w:r>
        <w:rPr>
          <w:rFonts w:eastAsia="Times New Roman"/>
        </w:rPr>
        <w:t xml:space="preserve">InsDel_Nα, </w:t>
      </w:r>
      <w:r>
        <w:rPr>
          <w:rFonts w:eastAsia="Times New Roman"/>
        </w:rPr>
        <w:t xml:space="preserve">is rare, </w:t>
      </w:r>
      <w:r>
        <w:rPr>
          <w:rFonts w:eastAsia="Times New Roman"/>
        </w:rPr>
        <w:t>occu</w:t>
      </w:r>
      <w:r>
        <w:rPr>
          <w:rFonts w:eastAsia="Times New Roman"/>
        </w:rPr>
        <w:t>rring</w:t>
      </w:r>
      <w:r>
        <w:rPr>
          <w:rFonts w:eastAsia="Times New Roman"/>
        </w:rPr>
        <w:t xml:space="preserve"> in </w:t>
      </w:r>
      <w:r>
        <w:rPr>
          <w:rFonts w:eastAsia="Times New Roman"/>
        </w:rPr>
        <w:t>only</w:t>
      </w:r>
      <w:r>
        <w:rPr>
          <w:rFonts w:eastAsia="Times New Roman"/>
        </w:rPr>
        <w:t xml:space="preserve"> 5</w:t>
      </w:r>
      <w:r>
        <w:rPr>
          <w:rFonts w:eastAsia="Times New Roman"/>
        </w:rPr>
        <w:t>5</w:t>
      </w:r>
      <w:r>
        <w:rPr>
          <w:rFonts w:eastAsia="Times New Roman"/>
        </w:rPr>
        <w:t xml:space="preserve"> </w:t>
      </w:r>
      <w:r>
        <w:rPr>
          <w:rFonts w:eastAsia="Times New Roman"/>
        </w:rPr>
        <w:t>MSS</w:t>
      </w:r>
      <w:r>
        <w:rPr>
          <w:rFonts w:eastAsia="Times New Roman"/>
        </w:rPr>
        <w:t xml:space="preserve"> tumors and </w:t>
      </w:r>
      <w:r>
        <w:rPr>
          <w:rFonts w:eastAsia="Times New Roman"/>
        </w:rPr>
        <w:t>2 MSI-H tumors</w:t>
      </w:r>
      <w:r>
        <w:rPr>
          <w:rFonts w:eastAsia="Times New Roman"/>
        </w:rPr>
        <w:t xml:space="preserve"> </w:t>
      </w:r>
      <w:r>
        <w:rPr>
          <w:rFonts w:eastAsia="Times New Roman"/>
          <w:shd w:fill="00FFFF" w:val="clear"/>
        </w:rPr>
        <w:t xml:space="preserve">(Table </w:t>
      </w:r>
      <w:r>
        <w:rPr>
          <w:rFonts w:eastAsia="Times New Roman"/>
          <w:shd w:fill="00FFFF" w:val="clear"/>
        </w:rPr>
        <w:t>&lt;sup_table_indel_N&gt;</w:t>
      </w:r>
      <w:r>
        <w:rPr>
          <w:rFonts w:eastAsia="Times New Roman"/>
        </w:rPr>
        <w:t xml:space="preserve">). </w:t>
      </w:r>
      <w:r>
        <w:rPr>
          <w:rFonts w:eastAsia="Times New Roman"/>
        </w:rPr>
        <w:t>Here we will focus on t</w:t>
      </w:r>
      <w:r>
        <w:rPr>
          <w:rFonts w:eastAsia="Times New Roman" w:hint="eastAsia"/>
        </w:rPr>
        <w:t xml:space="preserve">he other </w:t>
      </w:r>
      <w:r>
        <w:rPr>
          <w:rFonts w:eastAsia="Times New Roman" w:hint="eastAsia"/>
        </w:rPr>
        <w:t>variant</w:t>
      </w:r>
      <w:r>
        <w:rPr>
          <w:rFonts w:eastAsia="Times New Roman" w:hint="eastAsia"/>
        </w:rPr>
        <w:t>,</w:t>
      </w:r>
      <w:r>
        <w:rPr>
          <w:rFonts w:eastAsia="Times New Roman"/>
        </w:rPr>
        <w:t xml:space="preserve"> InsDel_Nβ </w:t>
      </w:r>
      <w:r>
        <w:rPr>
          <w:rFonts w:eastAsia="Times New Roman"/>
        </w:rPr>
        <w:t xml:space="preserve">which </w:t>
      </w:r>
      <w:r>
        <w:rPr>
          <w:rFonts w:eastAsia="Times New Roman"/>
        </w:rPr>
        <w:t xml:space="preserve">occurs </w:t>
      </w:r>
      <w:r>
        <w:rPr>
          <w:rFonts w:eastAsia="Times New Roman"/>
        </w:rPr>
        <w:t>in 2,6</w:t>
      </w:r>
      <w:r>
        <w:rPr>
          <w:rFonts w:eastAsia="Times New Roman"/>
        </w:rPr>
        <w:t>29</w:t>
      </w:r>
      <w:r>
        <w:rPr>
          <w:rFonts w:eastAsia="Times New Roman"/>
        </w:rPr>
        <w:t xml:space="preserve"> </w:t>
      </w:r>
      <w:r>
        <w:rPr>
          <w:rFonts w:eastAsia="Times New Roman"/>
        </w:rPr>
        <w:t>MSS</w:t>
      </w:r>
      <w:r>
        <w:rPr>
          <w:rFonts w:eastAsia="Times New Roman"/>
        </w:rPr>
        <w:t xml:space="preserve"> tumors </w:t>
      </w:r>
      <w:r>
        <w:rPr>
          <w:rFonts w:eastAsia="Times New Roman"/>
        </w:rPr>
        <w:t xml:space="preserve">in diverse cancer types and </w:t>
      </w:r>
      <w:r>
        <w:rPr>
          <w:rFonts w:eastAsia="Times New Roman"/>
        </w:rPr>
        <w:t xml:space="preserve">in only </w:t>
      </w:r>
      <w:r>
        <w:rPr>
          <w:rFonts w:eastAsia="Times New Roman"/>
        </w:rPr>
        <w:t xml:space="preserve">9 MSI-H tumors. </w:t>
      </w:r>
    </w:p>
    <w:p>
      <w:pPr>
        <w:pStyle w:val="normalfirst"/>
        <w:rPr>
          <w:rFonts w:eastAsia="Times New Roman"/>
        </w:rPr>
      </w:pPr>
      <w:r>
        <w:rPr>
          <w:rFonts w:eastAsia="Times New Roman"/>
        </w:rPr>
        <w:t>&lt;present insdel_1_a in combination and isolation&gt;</w:t>
      </w:r>
    </w:p>
    <w:p>
      <w:pPr>
        <w:pStyle w:val="normalfirst"/>
        <w:rPr>
          <w:rFonts w:eastAsia="Times New Roman"/>
        </w:rPr>
      </w:pPr>
      <w:r>
        <w:rPr>
          <w:rFonts w:eastAsia="Times New Roman"/>
        </w:rPr>
        <w:t>&lt;1-1 signature to 1damage / repair process does not hold – continuum between ins and del&gt;</w:t>
      </w:r>
    </w:p>
    <w:p>
      <w:pPr>
        <w:pStyle w:val="normalfirst"/>
        <w:rPr>
          <w:rFonts w:eastAsia="Times New Roman"/>
        </w:rPr>
      </w:pPr>
      <w:r>
        <w:rPr>
          <w:rFonts w:eastAsia="Times New Roman"/>
        </w:rPr>
        <w:t>&lt;figures for this&gt;</w:t>
      </w:r>
    </w:p>
    <w:p>
      <w:pPr>
        <w:pStyle w:val="normalfirst"/>
        <w:rPr>
          <w:rFonts w:eastAsia="Times New Roman"/>
          <w:b/>
          <w:bCs/>
          <w:i/>
          <w:iCs/>
        </w:rPr>
      </w:pPr>
      <w:r>
        <w:rPr>
          <w:rFonts w:eastAsia="Times New Roman"/>
          <w:b/>
          <w:bCs/>
          <w:i/>
          <w:iCs/>
        </w:rPr>
        <w:t>Single-thymine indels in poly-T tracts and microsatellite contraction in MSI-H tumors</w:t>
      </w:r>
    </w:p>
    <w:p>
      <w:pPr>
        <w:pStyle w:val="normalfirst"/>
        <w:rPr>
          <w:rFonts w:eastAsia="Times New Roman"/>
        </w:rPr>
      </w:pPr>
      <w:r>
        <w:rPr>
          <w:rFonts w:eastAsia="Times New Roman"/>
        </w:rPr>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xml:space="preserve">. Like InsDel_F, these cell-line spectra have 2-base deletions with microhomology and 2-base deletions from paired 2-base doublets. </w:t>
      </w:r>
      <w:r>
        <w:rPr/>
        <w:t>These spectra</w:t>
      </w:r>
      <w:r>
        <w:rPr/>
        <w:t xml:space="preserve">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w:t>
      </w:r>
      <w:r>
        <w:rPr>
          <w:shd w:fill="auto" w:val="clear"/>
        </w:rPr>
        <w:t>es</w:t>
      </w:r>
      <w:r>
        <w:rPr>
          <w:shd w:fill="auto" w:val="clear"/>
        </w:rPr>
        <w:t xml:space="preserve"> from </w:t>
      </w:r>
      <w:bookmarkStart w:id="21" w:name="ZOTERO_BREF_EyljJoO9yp1B"/>
      <w:r>
        <w:rPr>
          <w:shd w:fill="auto" w:val="clear"/>
        </w:rPr>
        <w:t>(Degasperi et al. 2022)</w:t>
      </w:r>
      <w:bookmarkEnd w:id="21"/>
      <w:r>
        <w:rPr>
          <w:shd w:fill="auto" w:val="clear"/>
        </w:rPr>
        <w:t xml:space="preserve"> </w:t>
      </w:r>
      <w:r>
        <w:rPr/>
        <w:t>(</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These </w:t>
      </w:r>
      <w:r>
        <w:rPr>
          <w:shd w:fill="00FFFF" w:val="clear"/>
        </w:rPr>
        <w:t>&lt;indel?&gt;</w:t>
      </w:r>
      <w:r>
        <w:rPr/>
        <w:t xml:space="preserve"> signatures also exhibit clock-like mutational behavior </w:t>
      </w:r>
      <w:r>
        <w:rPr>
          <w:shd w:fill="00FFFF" w:val="clear"/>
        </w:rPr>
        <w:t>&lt;where is this shown&gt;</w:t>
      </w:r>
      <w:r>
        <w:rPr/>
        <w:t>.</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w:t>
      </w:r>
      <w:r>
        <w:rPr/>
        <w:t>and the 83-type signature C_ID1 had similar correlation profiles</w:t>
      </w:r>
      <w:r>
        <w:rPr/>
        <w:t xml:space="preserve"> and frequently co-occurred with SBS88, SBS17, and SBS93, which are prominent in the </w:t>
      </w:r>
      <w:r>
        <w:rPr>
          <w:shd w:fill="FFFF00" w:val="clear"/>
        </w:rPr>
        <w:t xml:space="preserve">GI enriched </w:t>
      </w:r>
      <w:r>
        <w:rPr/>
        <w:t xml:space="preserve">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1 The aristolochic acid (AA) indel signatures </w:t>
      </w:r>
      <w:r>
        <w:rPr>
          <w:b/>
          <w:bCs/>
          <w:sz w:val="18"/>
          <w:szCs w:val="18"/>
        </w:rPr>
        <w:t xml:space="preserve">(signature 23) </w:t>
      </w:r>
      <w:r>
        <w:rPr>
          <w:b/>
          <w:bCs/>
          <w:sz w:val="18"/>
          <w:szCs w:val="18"/>
        </w:rPr>
        <w:t xml:space="preserve">in the </w:t>
      </w:r>
      <w:r>
        <w:rPr>
          <w:b/>
          <w:bCs/>
          <w:sz w:val="18"/>
          <w:szCs w:val="18"/>
        </w:rPr>
        <w:t>three</w:t>
      </w:r>
      <w:r>
        <w:rPr>
          <w:b/>
          <w:bCs/>
          <w:sz w:val="18"/>
          <w:szCs w:val="18"/>
        </w:rPr>
        <w:t xml:space="preserve"> classification schemes.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false"/>
        <w:spacing w:before="0" w:after="0" w:lineRule="auto" w:line="24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before="0" w:after="0" w:lineRule="auto" w:line="24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before="0" w:after="0" w:lineRule="auto" w:line="240"/>
        <w:rPr/>
      </w:pPr>
      <w:r>
        <w:annotationRef/>
      </w:r>
      <w:r>
        <w:rPr>
          <w:rFonts w:eastAsia="宋体" w:cs="Noto Sans Arabic UI" w:ascii="Calibri" w:hAnsi="Calibri"/>
          <w:i/>
          <w:sz w:val="16"/>
          <w:szCs w:val="22"/>
        </w:rPr>
        <w:t>Reply to Mo Liu (05/29/2026, 16:03): "..."</w:t>
      </w:r>
    </w:p>
    <w:p>
      <w:pPr>
        <w:overflowPunct w:val="false"/>
        <w:spacing w:before="37675" w:after="0" w:lineRule="auto" w:line="240"/>
        <w:rPr/>
      </w:pPr>
      <w:r>
        <w:rPr>
          <w:rFonts w:eastAsia="宋体" w:cs="Noto Sans Arabic UI" w:ascii="Calibri" w:hAnsi="Calibri"/>
          <w:sz w:val="20"/>
          <w:szCs w:val="20"/>
        </w:rPr>
        <w:t>Hi Steve,</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eastAsia="宋体" w:cs="Noto Sans Arabic UI" w:ascii="Calibri" w:hAnsi="Calibri"/>
          <w:sz w:val="20"/>
          <w:szCs w:val="20"/>
        </w:rPr>
        <w:t>I summarized the topographical annotations available on the COSMIC website.</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eastAsia="宋体" w:cs="Noto Sans Arabic UI" w:ascii="Calibri" w:hAnsi="Calibri"/>
          <w:sz w:val="20"/>
          <w:szCs w:val="20"/>
        </w:rPr>
        <w:t>I’ve summarized the information in the attached file.</w:t>
      </w:r>
    </w:p>
    <w:p>
      <w:pPr>
        <w:overflowPunct w:val="false"/>
        <w:spacing w:before="37675" w:after="0" w:lineRule="auto" w:line="240"/>
        <w:rPr/>
      </w:pPr>
      <w:r>
        <w:rPr>
          <w:rFonts w:eastAsia="宋体" w:cs="Noto Sans Arabic UI" w:ascii="Calibri" w:hAnsi="Calibri"/>
          <w:sz w:val="20"/>
          <w:szCs w:val="20"/>
        </w:rPr>
        <w:t>Please let me know if you need more information.</w:t>
      </w:r>
    </w:p>
    <w:p>
      <w:pPr>
        <w:overflowPunct w:val="false"/>
        <w:spacing w:before="37675" w:after="0" w:lineRule="auto" w:line="240"/>
        <w:rPr/>
      </w:pPr>
      <w:r>
        <w:rPr>
          <w:rFonts w:eastAsia="宋体" w:cs="Noto Sans Arabic UI" w:ascii="Calibri" w:hAnsi="Calibri"/>
          <w:sz w:val="20"/>
          <w:szCs w:val="20"/>
        </w:rPr>
        <w:t>Thanks,Mo</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eastAsia="宋体" w:cs="Noto Sans Arabic UI" w:ascii="Calibri" w:hAnsi="Calibri"/>
          <w:sz w:val="20"/>
          <w:szCs w:val="20"/>
        </w:rPr>
        <w:t>See COSMICv3.6 ID topographical annotation.xlsx</w:t>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pPr>
        <w:overflowPunct w:val="false"/>
        <w:spacing w:before="37675" w:after="0" w:lineRule="auto" w:line="240"/>
        <w:rPr/>
      </w:pPr>
      <w:r>
        <w:rPr>
          <w:rFonts w:cs="Noto Sans Arabic UI" w:eastAsia="宋体" w:ascii="Calibri" w:hAnsi="Calibri"/>
          <w:sz w:val="22"/>
          <w:szCs w:val="22"/>
        </w:rPr>
      </w:r>
    </w:p>
    <w:p w14:paraId="04000000">
      <w:pPr>
        <w:overflowPunct w:val="false"/>
        <w:spacing w:before="37675" w:after="0" w:lineRule="auto" w:line="24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LibreOffice/26.2.4.2$Linux_X86_64 LibreOffice_project/620$Build-2</Application>
  <AppVersion>15.0000</AppVersion>
  <Pages>39</Pages>
  <Words>9664</Words>
  <Characters>57778</Characters>
  <CharactersWithSpaces>67095</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2026-08-16T11:18:00Z</dcterms:created>
  <dc:creator>Mo Liu</dc:creator>
  <dc:description/>
  <dc:language>en-US</dc:language>
  <cp:lastModifiedBy/>
  <cp:lastPrinted>2025-06-06T09:23:00Z</cp:lastPrinted>
  <dcterms:modified xsi:type="dcterms:W3CDTF">2026-08-17T09:24:23Z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