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6872D02"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w:t>
      </w:r>
      <w:r w:rsidR="006E6B8A" w:rsidRPr="008A1C58">
        <w:rPr>
          <w:rFonts w:ascii="Times New Roman" w:hAnsi="Times New Roman" w:cs="Times New Roman"/>
          <w:sz w:val="24"/>
          <w:szCs w:val="24"/>
        </w:rPr>
        <w:t>Qi Zheng,</w:t>
      </w:r>
      <w:r w:rsidR="006E6B8A">
        <w:rPr>
          <w:rFonts w:ascii="Times New Roman" w:hAnsi="Times New Roman" w:cs="Times New Roman" w:hint="eastAsia"/>
          <w:sz w:val="24"/>
          <w:szCs w:val="24"/>
        </w:rPr>
        <w:t xml:space="preserve"> Mini Huang, </w:t>
      </w:r>
      <w:r w:rsidRPr="008A1C58">
        <w:rPr>
          <w:rFonts w:ascii="Times New Roman" w:hAnsi="Times New Roman" w:cs="Times New Roman"/>
          <w:sz w:val="24"/>
          <w:szCs w:val="24"/>
        </w:rPr>
        <w:t xml:space="preserve">Arnoud Boot, </w:t>
      </w:r>
      <w:r w:rsidR="00A0126B">
        <w:rPr>
          <w:rFonts w:ascii="Times New Roman" w:hAnsi="Times New Roman" w:cs="Times New Roman" w:hint="eastAsia"/>
          <w:sz w:val="24"/>
          <w:szCs w:val="24"/>
        </w:rPr>
        <w:t>Shenli Zhang,</w:t>
      </w:r>
      <w:r w:rsidR="00C3422A" w:rsidRPr="008A1C58">
        <w:rPr>
          <w:rFonts w:ascii="Times New Roman" w:hAnsi="Times New Roman" w:cs="Times New Roman"/>
          <w:sz w:val="24"/>
          <w:szCs w:val="24"/>
        </w:rPr>
        <w:t xml:space="preserve"> </w:t>
      </w:r>
      <w:r w:rsidR="00A0315B">
        <w:rPr>
          <w:rFonts w:ascii="Times New Roman" w:hAnsi="Times New Roman" w:cs="Times New Roman" w:hint="eastAsia"/>
          <w:sz w:val="24"/>
          <w:szCs w:val="24"/>
        </w:rPr>
        <w:t xml:space="preserve">Ying Yang,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w:t>
      </w:r>
      <w:r w:rsidRPr="00065370">
        <w:rPr>
          <w:rFonts w:ascii="Times New Roman" w:hAnsi="Times New Roman" w:cs="Times New Roman"/>
          <w:sz w:val="24"/>
          <w:szCs w:val="24"/>
        </w:rPr>
        <w:lastRenderedPageBreak/>
        <w:t>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F9E604"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 xml:space="preserve">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2828BBD4"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S2</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w:t>
      </w:r>
      <w:r w:rsidR="00414F16" w:rsidRPr="00A70D28">
        <w:rPr>
          <w:rFonts w:ascii="Times New Roman" w:hAnsi="Times New Roman" w:cs="Times New Roman"/>
          <w:sz w:val="24"/>
          <w:szCs w:val="24"/>
        </w:rPr>
        <w:lastRenderedPageBreak/>
        <w:t xml:space="preserve">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S2C</w:t>
      </w:r>
      <w:r w:rsidR="00414F16" w:rsidRPr="00A70D28">
        <w:rPr>
          <w:rFonts w:ascii="Times New Roman" w:hAnsi="Times New Roman" w:cs="Times New Roman"/>
          <w:sz w:val="24"/>
          <w:szCs w:val="24"/>
        </w:rPr>
        <w:t>)</w:t>
      </w:r>
      <w:commentRangeEnd w:id="1"/>
      <w:r w:rsidR="00414F16">
        <w:rPr>
          <w:rFonts w:ascii="Times New Roman" w:hAnsi="Times New Roman" w:cs="Times New Roman" w:hint="eastAsia"/>
          <w:sz w:val="24"/>
          <w:szCs w:val="24"/>
        </w:rPr>
        <w:t xml:space="preserve">. </w:t>
      </w:r>
      <w:r w:rsidR="00414F16">
        <w:rPr>
          <w:rStyle w:val="CommentReference"/>
        </w:rPr>
        <w:commentReference w:id="1"/>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S2D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S2E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55585E">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w:t>
      </w:r>
      <w:r w:rsidR="004235BD" w:rsidRPr="004235BD">
        <w:rPr>
          <w:rFonts w:ascii="Times New Roman" w:hAnsi="Times New Roman" w:cs="Times New Roman"/>
          <w:sz w:val="24"/>
          <w:szCs w:val="24"/>
        </w:rPr>
        <w:lastRenderedPageBreak/>
        <w:t xml:space="preserve">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6A449D">
        <w:rPr>
          <w:rFonts w:ascii="Times New Roman" w:hAnsi="Times New Roman" w:cs="Times New Roman"/>
          <w:sz w:val="24"/>
          <w:szCs w:val="24"/>
          <w:highlight w:val="yellow"/>
        </w:rPr>
        <w:t>(</w:t>
      </w:r>
      <w:r w:rsidR="006A449D" w:rsidRPr="006A449D">
        <w:rPr>
          <w:rFonts w:ascii="Times New Roman" w:hAnsi="Times New Roman" w:cs="Times New Roman" w:hint="eastAsia"/>
          <w:sz w:val="24"/>
          <w:szCs w:val="24"/>
          <w:highlight w:val="yellow"/>
        </w:rPr>
        <w:t>Table S5</w:t>
      </w:r>
      <w:r w:rsidRPr="006A449D">
        <w:rPr>
          <w:rFonts w:ascii="Times New Roman" w:hAnsi="Times New Roman" w:cs="Times New Roman"/>
          <w:sz w:val="24"/>
          <w:szCs w:val="24"/>
          <w:highlight w:val="yellow"/>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w:t>
      </w:r>
      <w:r w:rsidR="00E07F96" w:rsidRPr="00E07F96">
        <w:rPr>
          <w:rFonts w:ascii="Times New Roman" w:hAnsi="Times New Roman" w:cs="Times New Roman"/>
          <w:sz w:val="24"/>
          <w:szCs w:val="24"/>
        </w:rPr>
        <w:lastRenderedPageBreak/>
        <w:t xml:space="preserve">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527CC865"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4A). Notably, these MSI tumors typically exhibit a higher prevalence of deletions compared to insertions (Figure 4B),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6BA03AF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4C).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proofErr w:type="spellStart"/>
      <w:r w:rsidR="009222E0">
        <w:rPr>
          <w:rFonts w:ascii="Times New Roman" w:hAnsi="Times New Roman" w:cs="Times New Roman" w:hint="eastAsia"/>
          <w:sz w:val="24"/>
          <w:szCs w:val="24"/>
        </w:rPr>
        <w:t>exclusitivity</w:t>
      </w:r>
      <w:proofErr w:type="spellEnd"/>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S4</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4E;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076664C3"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4F). Although H_ID33 and </w:t>
      </w:r>
      <w:r w:rsidRPr="00442D83">
        <w:rPr>
          <w:rFonts w:ascii="Times New Roman" w:hAnsi="Times New Roman" w:cs="Times New Roman"/>
          <w:sz w:val="24"/>
          <w:szCs w:val="24"/>
        </w:rPr>
        <w:lastRenderedPageBreak/>
        <w:t>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S4</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A0C05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4H)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4B)</w:t>
      </w:r>
      <w:r w:rsidRPr="00442D83">
        <w:rPr>
          <w:rFonts w:ascii="Times New Roman" w:hAnsi="Times New Roman" w:cs="Times New Roman"/>
          <w:sz w:val="24"/>
          <w:szCs w:val="24"/>
        </w:rPr>
        <w:t>.</w:t>
      </w:r>
    </w:p>
    <w:p w14:paraId="70360450" w14:textId="4DBDDE1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 The analysis yielded AUROC values exceeding 0.9 for both categories of MSI status, indicating strong predictive capability (</w:t>
      </w:r>
      <w:r w:rsidR="00CB704C">
        <w:rPr>
          <w:rFonts w:ascii="Times New Roman" w:hAnsi="Times New Roman" w:cs="Times New Roman" w:hint="eastAsia"/>
          <w:sz w:val="24"/>
          <w:szCs w:val="24"/>
        </w:rPr>
        <w:t>Figure 4I, FiguresS</w:t>
      </w:r>
      <w:r w:rsidR="00140D13">
        <w:rPr>
          <w:rFonts w:ascii="Times New Roman" w:hAnsi="Times New Roman" w:cs="Times New Roman" w:hint="eastAsia"/>
          <w:sz w:val="24"/>
          <w:szCs w:val="24"/>
        </w:rPr>
        <w:t>4</w:t>
      </w:r>
      <w:r w:rsidR="00935D7D">
        <w:rPr>
          <w:rFonts w:ascii="Times New Roman" w:hAnsi="Times New Roman" w:cs="Times New Roman" w:hint="eastAsia"/>
          <w:sz w:val="24"/>
          <w:szCs w:val="24"/>
        </w:rPr>
        <w:t>C</w:t>
      </w:r>
      <w:r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131A8990"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lastRenderedPageBreak/>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the transcription association of H_ID29 (Figure 5H).</w:t>
      </w:r>
    </w:p>
    <w:p w14:paraId="5A09CC0D" w14:textId="7777777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Our extended sequence analysis reveals distinct sequence contexts: H_ID29 preferentially deletes CT/TC within tandem repeats, while a common NTNT motif is identified in microhomologies (Figure 6A). Tumors exhibiting high H_ID29 activity show deletion sequences that closely resemble those observed in RNASEH2B null HEK293T cells, as well as in Rnaseh2b knockout mouse tumors and RNase H2 null RPE1 cells (Figure 6B-D). In contrast, C_ID4 displays a more balanced preference for deleting CT and TT within tandem repeats, with a prevalent CTNTN motif found in microhomologies (Figure 6E).</w:t>
      </w:r>
    </w:p>
    <w:p w14:paraId="3A9B82A9" w14:textId="4340A425"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w:t>
      </w:r>
      <w:r w:rsidRPr="00744AA4">
        <w:rPr>
          <w:rFonts w:ascii="Times New Roman" w:hAnsi="Times New Roman" w:cs="Times New Roman"/>
          <w:sz w:val="24"/>
          <w:szCs w:val="24"/>
        </w:rPr>
        <w:lastRenderedPageBreak/>
        <w:t>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F87437">
        <w:rPr>
          <w:rFonts w:ascii="Times New Roman" w:hAnsi="Times New Roman" w:cs="Times New Roman" w:hint="eastAsia"/>
          <w:sz w:val="24"/>
          <w:szCs w:val="24"/>
        </w:rPr>
        <w:t>5</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0607E6">
        <w:rPr>
          <w:rFonts w:ascii="Times New Roman" w:hAnsi="Times New Roman" w:cs="Times New Roman" w:hint="eastAsia"/>
          <w:sz w:val="24"/>
          <w:szCs w:val="24"/>
        </w:rPr>
        <w:t>5</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1008A8">
        <w:rPr>
          <w:rFonts w:ascii="Times New Roman" w:hAnsi="Times New Roman" w:cs="Times New Roman" w:hint="eastAsia"/>
          <w:sz w:val="24"/>
          <w:szCs w:val="24"/>
        </w:rPr>
        <w:t>5H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075A6732"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sidR="00FC5A9C">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w:t>
      </w:r>
      <w:r w:rsidRPr="00706990">
        <w:rPr>
          <w:rFonts w:ascii="Times New Roman" w:hAnsi="Times New Roman" w:cs="Times New Roman"/>
          <w:sz w:val="24"/>
          <w:szCs w:val="24"/>
        </w:rPr>
        <w:lastRenderedPageBreak/>
        <w:t>removes cytosine 3' of poly-T sequences, whereas C_ID9 removes cytosine 5' of poly-T sequences. Additionally, DEL:C:1:0 is prominent in H_ID32, where the extended sequence surrounding DEL:C:1:0 shows a balanced ratio of A and T.</w:t>
      </w:r>
    </w:p>
    <w:p w14:paraId="22EC24C3" w14:textId="426A61F6"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w:t>
      </w:r>
      <w:r w:rsidR="00BB4EEE">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sidR="000069AB">
        <w:rPr>
          <w:rFonts w:ascii="Times New Roman" w:hAnsi="Times New Roman" w:cs="Times New Roman" w:hint="eastAsia"/>
          <w:sz w:val="24"/>
          <w:szCs w:val="24"/>
        </w:rPr>
        <w:t>INS:T:1:5+</w:t>
      </w:r>
      <w:r w:rsidR="0001155D">
        <w:rPr>
          <w:rFonts w:ascii="Times New Roman" w:hAnsi="Times New Roman" w:cs="Times New Roman" w:hint="eastAsia"/>
          <w:sz w:val="24"/>
          <w:szCs w:val="24"/>
        </w:rPr>
        <w:t xml:space="preserve"> (Figure S</w:t>
      </w:r>
      <w:r w:rsidR="006E0FCA">
        <w:rPr>
          <w:rFonts w:ascii="Times New Roman" w:hAnsi="Times New Roman" w:cs="Times New Roman" w:hint="eastAsia"/>
          <w:sz w:val="24"/>
          <w:szCs w:val="24"/>
        </w:rPr>
        <w:t>6</w:t>
      </w:r>
      <w:r w:rsidR="0001155D">
        <w:rPr>
          <w:rFonts w:ascii="Times New Roman" w:hAnsi="Times New Roman" w:cs="Times New Roman" w:hint="eastAsia"/>
          <w:sz w:val="24"/>
          <w:szCs w:val="24"/>
        </w:rPr>
        <w:t>)</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02233CD5" w14:textId="36E997B5" w:rsidR="00383C4D" w:rsidRPr="003D71E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It is intriguing </w:t>
      </w:r>
      <w:r w:rsidR="00736441" w:rsidRPr="00736441">
        <w:rPr>
          <w:rFonts w:ascii="Times New Roman" w:hAnsi="Times New Roman" w:cs="Times New Roman"/>
          <w:sz w:val="24"/>
          <w:szCs w:val="24"/>
        </w:rPr>
        <w:t xml:space="preserve">to explore whether mutational processes, represented by mutational signatures, show preferential enrichment in clinical characteristics </w:t>
      </w:r>
      <w:r w:rsidR="001A206F">
        <w:rPr>
          <w:rFonts w:ascii="Times New Roman" w:hAnsi="Times New Roman" w:cs="Times New Roman" w:hint="eastAsia"/>
          <w:sz w:val="24"/>
          <w:szCs w:val="24"/>
        </w:rPr>
        <w:t>including</w:t>
      </w:r>
      <w:r w:rsidR="00736441" w:rsidRPr="00736441">
        <w:rPr>
          <w:rFonts w:ascii="Times New Roman" w:hAnsi="Times New Roman" w:cs="Times New Roman"/>
          <w:sz w:val="24"/>
          <w:szCs w:val="24"/>
        </w:rPr>
        <w:t xml:space="preserve"> cancer type, gender, and age. We first excluded </w:t>
      </w:r>
      <w:r w:rsidR="008162CB">
        <w:rPr>
          <w:rFonts w:ascii="Times New Roman" w:hAnsi="Times New Roman" w:cs="Times New Roman" w:hint="eastAsia"/>
          <w:sz w:val="24"/>
          <w:szCs w:val="24"/>
        </w:rPr>
        <w:t xml:space="preserve">four </w:t>
      </w:r>
      <w:r w:rsidR="00736441" w:rsidRPr="00736441">
        <w:rPr>
          <w:rFonts w:ascii="Times New Roman" w:hAnsi="Times New Roman" w:cs="Times New Roman"/>
          <w:sz w:val="24"/>
          <w:szCs w:val="24"/>
        </w:rPr>
        <w:t xml:space="preserve">cancer types with strong gender </w:t>
      </w:r>
      <w:r w:rsidR="008162CB">
        <w:rPr>
          <w:rFonts w:ascii="Times New Roman" w:hAnsi="Times New Roman" w:cs="Times New Roman" w:hint="eastAsia"/>
          <w:sz w:val="24"/>
          <w:szCs w:val="24"/>
        </w:rPr>
        <w:t>bias</w:t>
      </w:r>
      <w:r w:rsidR="00736441" w:rsidRPr="00736441">
        <w:rPr>
          <w:rFonts w:ascii="Times New Roman" w:hAnsi="Times New Roman" w:cs="Times New Roman"/>
          <w:sz w:val="24"/>
          <w:szCs w:val="24"/>
        </w:rPr>
        <w:t>, including prostate</w:t>
      </w:r>
      <w:r w:rsidR="00736441" w:rsidRPr="00736441">
        <w:rPr>
          <w:rFonts w:ascii="Times New Roman" w:hAnsi="Times New Roman" w:cs="Times New Roman" w:hint="eastAsia"/>
          <w:sz w:val="24"/>
          <w:szCs w:val="24"/>
        </w:rPr>
        <w:t xml:space="preserve"> cancer (exclusive to males), uterine cancer, breast cancer, and ovarian cancer (exclusive to females). To evaluate </w:t>
      </w:r>
      <w:r w:rsidR="00736441" w:rsidRPr="00736441">
        <w:rPr>
          <w:rFonts w:ascii="Times New Roman" w:hAnsi="Times New Roman" w:cs="Times New Roman" w:hint="eastAsia"/>
          <w:sz w:val="24"/>
          <w:szCs w:val="24"/>
        </w:rPr>
        <w:lastRenderedPageBreak/>
        <w:t>the preferential prevalence of mutational signatures, we utilized logistic regression with gender</w:t>
      </w:r>
      <w:r w:rsidR="00814652">
        <w:rPr>
          <w:rFonts w:ascii="Times New Roman" w:hAnsi="Times New Roman" w:cs="Times New Roman" w:hint="eastAsia"/>
          <w:sz w:val="24"/>
          <w:szCs w:val="24"/>
        </w:rPr>
        <w:t xml:space="preserve"> and </w:t>
      </w:r>
      <w:r w:rsidR="00736441" w:rsidRPr="00736441">
        <w:rPr>
          <w:rFonts w:ascii="Times New Roman" w:hAnsi="Times New Roman" w:cs="Times New Roman" w:hint="eastAsia"/>
          <w:sz w:val="24"/>
          <w:szCs w:val="24"/>
        </w:rPr>
        <w:t>cancer type</w:t>
      </w:r>
      <w:r w:rsidR="00814652">
        <w:rPr>
          <w:rFonts w:ascii="Times New Roman" w:hAnsi="Times New Roman" w:cs="Times New Roman" w:hint="eastAsia"/>
          <w:sz w:val="24"/>
          <w:szCs w:val="24"/>
        </w:rPr>
        <w:t xml:space="preserve"> </w:t>
      </w:r>
      <w:r w:rsidR="00736441" w:rsidRPr="00736441">
        <w:rPr>
          <w:rFonts w:ascii="Times New Roman" w:hAnsi="Times New Roman" w:cs="Times New Roman"/>
          <w:sz w:val="24"/>
          <w:szCs w:val="24"/>
        </w:rPr>
        <w:t xml:space="preserve">as predictors to examine the associations (Figure 8A).  </w:t>
      </w:r>
      <w:proofErr w:type="spellStart"/>
      <w:r w:rsidR="00CC0F5A" w:rsidRPr="001947A6">
        <w:rPr>
          <w:rFonts w:ascii="Times New Roman" w:hAnsi="Times New Roman" w:cs="Times New Roman" w:hint="eastAsia"/>
          <w:color w:val="FF0000"/>
          <w:sz w:val="24"/>
          <w:szCs w:val="24"/>
        </w:rPr>
        <w:t>glm</w:t>
      </w:r>
      <w:proofErr w:type="spellEnd"/>
      <w:r w:rsidR="00CC0F5A" w:rsidRPr="001947A6">
        <w:rPr>
          <w:rFonts w:ascii="Times New Roman" w:hAnsi="Times New Roman" w:cs="Times New Roman" w:hint="eastAsia"/>
          <w:color w:val="FF0000"/>
          <w:sz w:val="24"/>
          <w:szCs w:val="24"/>
        </w:rPr>
        <w:t>(</w:t>
      </w:r>
      <w:proofErr w:type="spellStart"/>
      <w:r w:rsidR="001947A6" w:rsidRPr="001947A6">
        <w:rPr>
          <w:rFonts w:ascii="Times New Roman" w:hAnsi="Times New Roman" w:cs="Times New Roman" w:hint="eastAsia"/>
          <w:color w:val="FF0000"/>
          <w:sz w:val="24"/>
          <w:szCs w:val="24"/>
        </w:rPr>
        <w:t>presence~gender+cancertype</w:t>
      </w:r>
      <w:r w:rsidR="001759C0">
        <w:rPr>
          <w:rFonts w:ascii="Times New Roman" w:hAnsi="Times New Roman" w:cs="Times New Roman" w:hint="eastAsia"/>
          <w:color w:val="FF0000"/>
          <w:sz w:val="24"/>
          <w:szCs w:val="24"/>
        </w:rPr>
        <w:t>+gender</w:t>
      </w:r>
      <w:proofErr w:type="spellEnd"/>
      <w:r w:rsidR="001759C0">
        <w:rPr>
          <w:rFonts w:ascii="Times New Roman" w:hAnsi="Times New Roman" w:cs="Times New Roman" w:hint="eastAsia"/>
          <w:color w:val="FF0000"/>
          <w:sz w:val="24"/>
          <w:szCs w:val="24"/>
        </w:rPr>
        <w:t>*</w:t>
      </w:r>
      <w:proofErr w:type="spellStart"/>
      <w:r w:rsidR="001759C0">
        <w:rPr>
          <w:rFonts w:ascii="Times New Roman" w:hAnsi="Times New Roman" w:cs="Times New Roman" w:hint="eastAsia"/>
          <w:color w:val="FF0000"/>
          <w:sz w:val="24"/>
          <w:szCs w:val="24"/>
        </w:rPr>
        <w:t>cancertype</w:t>
      </w:r>
      <w:proofErr w:type="spellEnd"/>
      <w:r w:rsidR="001947A6" w:rsidRPr="001947A6">
        <w:rPr>
          <w:rFonts w:ascii="Times New Roman" w:hAnsi="Times New Roman" w:cs="Times New Roman" w:hint="eastAsia"/>
          <w:color w:val="FF0000"/>
          <w:sz w:val="24"/>
          <w:szCs w:val="24"/>
        </w:rPr>
        <w:t>)</w:t>
      </w:r>
      <w:r w:rsidR="001947A6">
        <w:rPr>
          <w:rFonts w:ascii="Times New Roman" w:hAnsi="Times New Roman" w:cs="Times New Roman" w:hint="eastAsia"/>
          <w:sz w:val="24"/>
          <w:szCs w:val="24"/>
        </w:rPr>
        <w:t xml:space="preserve"> </w:t>
      </w:r>
      <w:r w:rsidR="00736441" w:rsidRPr="00736441">
        <w:rPr>
          <w:rFonts w:ascii="Times New Roman" w:hAnsi="Times New Roman" w:cs="Times New Roman"/>
          <w:sz w:val="24"/>
          <w:szCs w:val="24"/>
        </w:rPr>
        <w:t xml:space="preserve">A novel MSI signature, H_ID34, was found to be enriched in gastrointestinal tracts, specifically the colon, esophagus, and stomach. Additionally, three signatures showed significant gender-specific associations: C_ID3 </w:t>
      </w:r>
      <w:r w:rsidR="001C1806">
        <w:rPr>
          <w:rFonts w:ascii="Times New Roman" w:hAnsi="Times New Roman" w:cs="Times New Roman" w:hint="eastAsia"/>
          <w:sz w:val="24"/>
          <w:szCs w:val="24"/>
        </w:rPr>
        <w:t xml:space="preserve">and C_ID13 </w:t>
      </w:r>
      <w:r w:rsidR="00736441" w:rsidRPr="00736441">
        <w:rPr>
          <w:rFonts w:ascii="Times New Roman" w:hAnsi="Times New Roman" w:cs="Times New Roman"/>
          <w:sz w:val="24"/>
          <w:szCs w:val="24"/>
        </w:rPr>
        <w:t>w</w:t>
      </w:r>
      <w:r w:rsidR="001C1806">
        <w:rPr>
          <w:rFonts w:ascii="Times New Roman" w:hAnsi="Times New Roman" w:cs="Times New Roman" w:hint="eastAsia"/>
          <w:sz w:val="24"/>
          <w:szCs w:val="24"/>
        </w:rPr>
        <w:t>ere</w:t>
      </w:r>
      <w:r w:rsidR="00736441" w:rsidRPr="00736441">
        <w:rPr>
          <w:rFonts w:ascii="Times New Roman" w:hAnsi="Times New Roman" w:cs="Times New Roman"/>
          <w:sz w:val="24"/>
          <w:szCs w:val="24"/>
        </w:rPr>
        <w:t xml:space="preserve"> more prevalent in males, whereas C_ID</w:t>
      </w:r>
      <w:r w:rsidR="001C1806">
        <w:rPr>
          <w:rFonts w:ascii="Times New Roman" w:hAnsi="Times New Roman" w:cs="Times New Roman" w:hint="eastAsia"/>
          <w:sz w:val="24"/>
          <w:szCs w:val="24"/>
        </w:rPr>
        <w:t>11</w:t>
      </w:r>
      <w:r w:rsidR="00736441" w:rsidRPr="00736441">
        <w:rPr>
          <w:rFonts w:ascii="Times New Roman" w:hAnsi="Times New Roman" w:cs="Times New Roman"/>
          <w:sz w:val="24"/>
          <w:szCs w:val="24"/>
        </w:rPr>
        <w:t xml:space="preserve"> were more common in females. Furthermore, </w:t>
      </w:r>
      <w:r w:rsidR="001C1806">
        <w:rPr>
          <w:rFonts w:ascii="Times New Roman" w:hAnsi="Times New Roman" w:cs="Times New Roman" w:hint="eastAsia"/>
          <w:sz w:val="24"/>
          <w:szCs w:val="24"/>
        </w:rPr>
        <w:t>four</w:t>
      </w:r>
      <w:r w:rsidR="00A2004A">
        <w:rPr>
          <w:rFonts w:ascii="Times New Roman" w:hAnsi="Times New Roman" w:cs="Times New Roman" w:hint="eastAsia"/>
          <w:sz w:val="24"/>
          <w:szCs w:val="24"/>
        </w:rPr>
        <w:t xml:space="preserve"> signatures were identified </w:t>
      </w:r>
      <w:r w:rsidR="009B59A3">
        <w:rPr>
          <w:rFonts w:ascii="Times New Roman" w:hAnsi="Times New Roman" w:cs="Times New Roman" w:hint="eastAsia"/>
          <w:sz w:val="24"/>
          <w:szCs w:val="24"/>
        </w:rPr>
        <w:t xml:space="preserve">with </w:t>
      </w:r>
      <w:r w:rsidR="009B59A3">
        <w:rPr>
          <w:rFonts w:ascii="Times New Roman" w:hAnsi="Times New Roman" w:cs="Times New Roman"/>
          <w:sz w:val="24"/>
          <w:szCs w:val="24"/>
        </w:rPr>
        <w:t>significant</w:t>
      </w:r>
      <w:r w:rsidR="009B59A3">
        <w:rPr>
          <w:rFonts w:ascii="Times New Roman" w:hAnsi="Times New Roman" w:cs="Times New Roman" w:hint="eastAsia"/>
          <w:sz w:val="24"/>
          <w:szCs w:val="24"/>
        </w:rPr>
        <w:t xml:space="preserve"> aging correlation (i.e., clock-like feature): C_ID5, C_ID9, C_ID10, H_ID25. </w:t>
      </w:r>
      <w:r w:rsidR="007120E0">
        <w:rPr>
          <w:rFonts w:ascii="Times New Roman" w:hAnsi="Times New Roman" w:cs="Times New Roman" w:hint="eastAsia"/>
          <w:sz w:val="24"/>
          <w:szCs w:val="24"/>
        </w:rPr>
        <w:t xml:space="preserve">In general, PCAWG genomes contribute </w:t>
      </w:r>
      <w:r w:rsidR="003D71E8">
        <w:rPr>
          <w:rFonts w:ascii="Times New Roman" w:hAnsi="Times New Roman" w:cs="Times New Roman" w:hint="eastAsia"/>
          <w:sz w:val="24"/>
          <w:szCs w:val="24"/>
        </w:rPr>
        <w:t xml:space="preserve">more to the aging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compared to HMF genomes when looking at the </w:t>
      </w:r>
      <w:r w:rsidR="004D549A">
        <w:rPr>
          <w:rFonts w:ascii="Times New Roman" w:hAnsi="Times New Roman" w:cs="Times New Roman" w:hint="eastAsia"/>
          <w:sz w:val="24"/>
          <w:szCs w:val="24"/>
        </w:rPr>
        <w:t>coefficient</w:t>
      </w:r>
      <w:r w:rsidR="003D71E8">
        <w:rPr>
          <w:rFonts w:ascii="Times New Roman" w:hAnsi="Times New Roman" w:cs="Times New Roman" w:hint="eastAsia"/>
          <w:sz w:val="24"/>
          <w:szCs w:val="24"/>
        </w:rPr>
        <w:t xml:space="preserve"> and p value of </w:t>
      </w:r>
      <w:r w:rsidR="001A206F">
        <w:rPr>
          <w:rFonts w:ascii="Times New Roman" w:hAnsi="Times New Roman" w:cs="Times New Roman" w:hint="eastAsia"/>
          <w:sz w:val="24"/>
          <w:szCs w:val="24"/>
        </w:rPr>
        <w:t>Spearman</w:t>
      </w:r>
      <w:r w:rsidR="003D71E8">
        <w:rPr>
          <w:rFonts w:ascii="Times New Roman" w:hAnsi="Times New Roman" w:cs="Times New Roman" w:hint="eastAsia"/>
          <w:sz w:val="24"/>
          <w:szCs w:val="24"/>
        </w:rPr>
        <w:t xml:space="preserve">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between </w:t>
      </w:r>
      <w:r w:rsidR="004D6C8B">
        <w:rPr>
          <w:rFonts w:ascii="Times New Roman" w:hAnsi="Times New Roman" w:cs="Times New Roman" w:hint="eastAsia"/>
          <w:sz w:val="24"/>
          <w:szCs w:val="24"/>
        </w:rPr>
        <w:t>signature activity and age</w:t>
      </w:r>
      <w:r w:rsidR="00CA277F">
        <w:rPr>
          <w:rFonts w:ascii="Times New Roman" w:hAnsi="Times New Roman" w:cs="Times New Roman" w:hint="eastAsia"/>
          <w:sz w:val="24"/>
          <w:szCs w:val="24"/>
        </w:rPr>
        <w:t xml:space="preserve"> (Figure )</w:t>
      </w:r>
      <w:r w:rsidR="004D6C8B">
        <w:rPr>
          <w:rFonts w:ascii="Times New Roman" w:hAnsi="Times New Roman" w:cs="Times New Roman" w:hint="eastAsia"/>
          <w:sz w:val="24"/>
          <w:szCs w:val="24"/>
        </w:rPr>
        <w:t>.</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 xml:space="preserve">insertions in LRP1B. Previous research has linked LRP1B mutations to lung cancer </w:t>
      </w:r>
      <w:r w:rsidR="006F7579" w:rsidRPr="008A1C58">
        <w:rPr>
          <w:rFonts w:ascii="Times New Roman" w:hAnsi="Times New Roman" w:cs="Times New Roman"/>
          <w:sz w:val="24"/>
          <w:szCs w:val="24"/>
        </w:rPr>
        <w:lastRenderedPageBreak/>
        <w:t>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48841C5" w:rsidR="00EF04C1" w:rsidRDefault="00EF04C1" w:rsidP="008A1C58">
      <w:pPr>
        <w:spacing w:line="480" w:lineRule="auto"/>
        <w:rPr>
          <w:rFonts w:ascii="Times New Roman" w:hAnsi="Times New Roman" w:cs="Times New Roman"/>
          <w:sz w:val="24"/>
          <w:szCs w:val="24"/>
        </w:rPr>
      </w:pPr>
      <w:r w:rsidRPr="00EF04C1">
        <w:rPr>
          <w:rFonts w:ascii="Times New Roman" w:hAnsi="Times New Roman" w:cs="Times New Roman"/>
          <w:sz w:val="24"/>
          <w:szCs w:val="24"/>
        </w:rPr>
        <w:t xml:space="preserve">We </w:t>
      </w:r>
      <w:r w:rsidR="00BB4EEE">
        <w:rPr>
          <w:rFonts w:ascii="Times New Roman" w:hAnsi="Times New Roman" w:cs="Times New Roman" w:hint="eastAsia"/>
          <w:sz w:val="24"/>
          <w:szCs w:val="24"/>
        </w:rPr>
        <w:t>also performed</w:t>
      </w:r>
      <w:r w:rsidRPr="00EF04C1">
        <w:rPr>
          <w:rFonts w:ascii="Times New Roman" w:hAnsi="Times New Roman" w:cs="Times New Roman"/>
          <w:sz w:val="24"/>
          <w:szCs w:val="24"/>
        </w:rPr>
        <w:t xml:space="preserve">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an NMF-based model recognized for its strong performance in signature analysis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7,</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w:t>
      </w:r>
      <w:r w:rsidR="00DD19D2">
        <w:rPr>
          <w:rFonts w:ascii="Times New Roman" w:hAnsi="Times New Roman" w:cs="Times New Roman" w:hint="eastAsia"/>
          <w:sz w:val="24"/>
          <w:szCs w:val="24"/>
        </w:rPr>
        <w:t>some</w:t>
      </w:r>
      <w:r w:rsidRPr="00EF04C1">
        <w:rPr>
          <w:rFonts w:ascii="Times New Roman" w:hAnsi="Times New Roman" w:cs="Times New Roman"/>
          <w:sz w:val="24"/>
          <w:szCs w:val="24"/>
        </w:rPr>
        <w:t xml:space="preserve"> previously established COSMIC signatures. Similarly, we employed the 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across all genomes, which resulted in an optimal K=13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8</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Jin et al. 2024). 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all genomes, with 24 included in the finalized collection</w:t>
      </w:r>
      <w:r w:rsidR="006C0B89">
        <w:rPr>
          <w:rFonts w:ascii="Times New Roman" w:hAnsi="Times New Roman" w:cs="Times New Roman" w:hint="eastAsia"/>
          <w:sz w:val="24"/>
          <w:szCs w:val="24"/>
        </w:rPr>
        <w:t xml:space="preserve"> </w:t>
      </w:r>
      <w:r w:rsidR="006C0B89" w:rsidRPr="006C0B89">
        <w:rPr>
          <w:rFonts w:ascii="Times New Roman" w:hAnsi="Times New Roman" w:cs="Times New Roman" w:hint="eastAsia"/>
          <w:sz w:val="24"/>
          <w:szCs w:val="24"/>
          <w:highlight w:val="yellow"/>
        </w:rPr>
        <w:t>(</w:t>
      </w:r>
      <w:r w:rsidR="00B563BB">
        <w:rPr>
          <w:rFonts w:ascii="Times New Roman" w:hAnsi="Times New Roman" w:cs="Times New Roman" w:hint="eastAsia"/>
          <w:sz w:val="24"/>
          <w:szCs w:val="24"/>
          <w:highlight w:val="yellow"/>
        </w:rPr>
        <w:t>Table S</w:t>
      </w:r>
      <w:r w:rsidR="00760774">
        <w:rPr>
          <w:rFonts w:ascii="Times New Roman" w:hAnsi="Times New Roman" w:cs="Times New Roman" w:hint="eastAsia"/>
          <w:sz w:val="24"/>
          <w:szCs w:val="24"/>
          <w:highlight w:val="yellow"/>
        </w:rPr>
        <w:t>4</w:t>
      </w:r>
      <w:r w:rsidR="006C0B89" w:rsidRPr="006C0B89">
        <w:rPr>
          <w:rFonts w:ascii="Times New Roman" w:hAnsi="Times New Roman" w:cs="Times New Roman" w:hint="eastAsia"/>
          <w:sz w:val="24"/>
          <w:szCs w:val="24"/>
          <w:highlight w:val="yellow"/>
        </w:rPr>
        <w:t>)</w:t>
      </w:r>
      <w:r w:rsidRPr="00EF04C1">
        <w:rPr>
          <w:rFonts w:ascii="Times New Roman" w:hAnsi="Times New Roman" w:cs="Times New Roman"/>
          <w:sz w:val="24"/>
          <w:szCs w:val="24"/>
        </w:rPr>
        <w:t xml:space="preserve">. </w:t>
      </w:r>
      <w:r w:rsidR="003911E3" w:rsidRPr="00EF04C1">
        <w:rPr>
          <w:rFonts w:ascii="Times New Roman" w:hAnsi="Times New Roman" w:cs="Times New Roman"/>
          <w:sz w:val="24"/>
          <w:szCs w:val="24"/>
        </w:rPr>
        <w:t>This limitation is likely due to the challenges Non-negative Matrix Factorization faces in managing the high data sparsity associated with indels.</w:t>
      </w:r>
      <w:r w:rsidR="003911E3">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Our study </w:t>
      </w:r>
      <w:r w:rsidRPr="00EF04C1">
        <w:rPr>
          <w:rFonts w:ascii="Times New Roman" w:hAnsi="Times New Roman" w:cs="Times New Roman"/>
          <w:sz w:val="24"/>
          <w:szCs w:val="24"/>
        </w:rPr>
        <w:lastRenderedPageBreak/>
        <w:t xml:space="preserve">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2"/>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2"/>
      <w:proofErr w:type="spellEnd"/>
      <w:r w:rsidR="00706990">
        <w:rPr>
          <w:rStyle w:val="CommentReference"/>
        </w:rPr>
        <w:commentReference w:id="2"/>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2A43D2" w:rsidRDefault="00862CB8"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highlight w:val="yellow"/>
        </w:rPr>
        <w:t>Need help here</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2"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77872" w14:textId="77777777" w:rsidR="00B261AC" w:rsidRDefault="00B261AC" w:rsidP="000F4F7D">
      <w:pPr>
        <w:spacing w:after="0" w:line="240" w:lineRule="auto"/>
      </w:pPr>
      <w:r>
        <w:separator/>
      </w:r>
    </w:p>
  </w:endnote>
  <w:endnote w:type="continuationSeparator" w:id="0">
    <w:p w14:paraId="34C4E1D8" w14:textId="77777777" w:rsidR="00B261AC" w:rsidRDefault="00B261AC" w:rsidP="000F4F7D">
      <w:pPr>
        <w:spacing w:after="0" w:line="240" w:lineRule="auto"/>
      </w:pPr>
      <w:r>
        <w:continuationSeparator/>
      </w:r>
    </w:p>
  </w:endnote>
  <w:endnote w:type="continuationNotice" w:id="1">
    <w:p w14:paraId="56B8DE31" w14:textId="77777777" w:rsidR="00B261AC" w:rsidRDefault="00B261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476FD" w14:textId="77777777" w:rsidR="00B261AC" w:rsidRDefault="00B261AC" w:rsidP="000F4F7D">
      <w:pPr>
        <w:spacing w:after="0" w:line="240" w:lineRule="auto"/>
      </w:pPr>
      <w:r>
        <w:separator/>
      </w:r>
    </w:p>
  </w:footnote>
  <w:footnote w:type="continuationSeparator" w:id="0">
    <w:p w14:paraId="6CAE3AC2" w14:textId="77777777" w:rsidR="00B261AC" w:rsidRDefault="00B261AC" w:rsidP="000F4F7D">
      <w:pPr>
        <w:spacing w:after="0" w:line="240" w:lineRule="auto"/>
      </w:pPr>
      <w:r>
        <w:continuationSeparator/>
      </w:r>
    </w:p>
  </w:footnote>
  <w:footnote w:type="continuationNotice" w:id="1">
    <w:p w14:paraId="6F6C15F3" w14:textId="77777777" w:rsidR="00B261AC" w:rsidRDefault="00B261AC">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8380F"/>
    <w:rsid w:val="00184CEA"/>
    <w:rsid w:val="001857D3"/>
    <w:rsid w:val="00185AE9"/>
    <w:rsid w:val="0018652B"/>
    <w:rsid w:val="001865DC"/>
    <w:rsid w:val="00187F59"/>
    <w:rsid w:val="00190CFD"/>
    <w:rsid w:val="0019173B"/>
    <w:rsid w:val="001925AB"/>
    <w:rsid w:val="001947A6"/>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5C"/>
    <w:rsid w:val="001F29C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228C"/>
    <w:rsid w:val="00294EEB"/>
    <w:rsid w:val="002A0658"/>
    <w:rsid w:val="002A186B"/>
    <w:rsid w:val="002A1AF8"/>
    <w:rsid w:val="002A1B16"/>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D3A"/>
    <w:rsid w:val="00371F1F"/>
    <w:rsid w:val="00372C91"/>
    <w:rsid w:val="00372F43"/>
    <w:rsid w:val="00374059"/>
    <w:rsid w:val="00376164"/>
    <w:rsid w:val="00381638"/>
    <w:rsid w:val="00383C4D"/>
    <w:rsid w:val="00383E26"/>
    <w:rsid w:val="00384577"/>
    <w:rsid w:val="00386606"/>
    <w:rsid w:val="00386D65"/>
    <w:rsid w:val="003911E3"/>
    <w:rsid w:val="00391A3A"/>
    <w:rsid w:val="00394149"/>
    <w:rsid w:val="00394B96"/>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427B"/>
    <w:rsid w:val="004B501A"/>
    <w:rsid w:val="004B7A88"/>
    <w:rsid w:val="004C0A1F"/>
    <w:rsid w:val="004C3196"/>
    <w:rsid w:val="004C4F25"/>
    <w:rsid w:val="004C5649"/>
    <w:rsid w:val="004C5DA1"/>
    <w:rsid w:val="004C6265"/>
    <w:rsid w:val="004C7A6D"/>
    <w:rsid w:val="004D05F2"/>
    <w:rsid w:val="004D21FB"/>
    <w:rsid w:val="004D445D"/>
    <w:rsid w:val="004D50A7"/>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23DB"/>
    <w:rsid w:val="005323E6"/>
    <w:rsid w:val="005338C3"/>
    <w:rsid w:val="00534134"/>
    <w:rsid w:val="00534A39"/>
    <w:rsid w:val="00534DF7"/>
    <w:rsid w:val="00534E54"/>
    <w:rsid w:val="00537E66"/>
    <w:rsid w:val="00537FB7"/>
    <w:rsid w:val="00540405"/>
    <w:rsid w:val="00540B2D"/>
    <w:rsid w:val="00543518"/>
    <w:rsid w:val="00553262"/>
    <w:rsid w:val="0055585E"/>
    <w:rsid w:val="00555E0E"/>
    <w:rsid w:val="00557621"/>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600779"/>
    <w:rsid w:val="00600C72"/>
    <w:rsid w:val="00601E1F"/>
    <w:rsid w:val="00602F3F"/>
    <w:rsid w:val="00605380"/>
    <w:rsid w:val="006054D9"/>
    <w:rsid w:val="00606002"/>
    <w:rsid w:val="00610D52"/>
    <w:rsid w:val="0061101D"/>
    <w:rsid w:val="00611BCE"/>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5D7"/>
    <w:rsid w:val="00787ED6"/>
    <w:rsid w:val="00791620"/>
    <w:rsid w:val="0079183C"/>
    <w:rsid w:val="00793263"/>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4045"/>
    <w:rsid w:val="00995D03"/>
    <w:rsid w:val="00995F4D"/>
    <w:rsid w:val="00996E47"/>
    <w:rsid w:val="00997747"/>
    <w:rsid w:val="00997C34"/>
    <w:rsid w:val="009A22B1"/>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30D"/>
    <w:rsid w:val="00AE108D"/>
    <w:rsid w:val="00AE14E5"/>
    <w:rsid w:val="00AE1ADE"/>
    <w:rsid w:val="00AE7306"/>
    <w:rsid w:val="00AF1C30"/>
    <w:rsid w:val="00AF3ADC"/>
    <w:rsid w:val="00AF41FC"/>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C16"/>
    <w:rsid w:val="00B42C86"/>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2379"/>
    <w:rsid w:val="00C72E5D"/>
    <w:rsid w:val="00C7371D"/>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7D3"/>
    <w:rsid w:val="00D17AC3"/>
    <w:rsid w:val="00D17AE3"/>
    <w:rsid w:val="00D17D71"/>
    <w:rsid w:val="00D17DAB"/>
    <w:rsid w:val="00D2012A"/>
    <w:rsid w:val="00D21EC0"/>
    <w:rsid w:val="00D222A9"/>
    <w:rsid w:val="00D222BF"/>
    <w:rsid w:val="00D255BC"/>
    <w:rsid w:val="00D27700"/>
    <w:rsid w:val="00D32825"/>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3267"/>
    <w:rsid w:val="00DC462D"/>
    <w:rsid w:val="00DC57B3"/>
    <w:rsid w:val="00DC626F"/>
    <w:rsid w:val="00DC6B01"/>
    <w:rsid w:val="00DC71BC"/>
    <w:rsid w:val="00DD181C"/>
    <w:rsid w:val="00DD19D2"/>
    <w:rsid w:val="00DD1F4B"/>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6F4B"/>
    <w:rsid w:val="00F01A08"/>
    <w:rsid w:val="00F01F8B"/>
    <w:rsid w:val="00F03195"/>
    <w:rsid w:val="00F03F2D"/>
    <w:rsid w:val="00F07FFC"/>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ADD"/>
    <w:rsid w:val="00F960E4"/>
    <w:rsid w:val="00F9714B"/>
    <w:rsid w:val="00FA4E62"/>
    <w:rsid w:val="00FA5CA0"/>
    <w:rsid w:val="00FA5D26"/>
    <w:rsid w:val="00FB172B"/>
    <w:rsid w:val="00FB417E"/>
    <w:rsid w:val="00FB4FC5"/>
    <w:rsid w:val="00FB5FCB"/>
    <w:rsid w:val="00FB66EF"/>
    <w:rsid w:val="00FB755D"/>
    <w:rsid w:val="00FB78C5"/>
    <w:rsid w:val="00FC463E"/>
    <w:rsid w:val="00FC5A9C"/>
    <w:rsid w:val="00FC5DE0"/>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1239F1"/>
    <w:rsid w:val="001925AB"/>
    <w:rsid w:val="001B7519"/>
    <w:rsid w:val="001F555B"/>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34DF7"/>
    <w:rsid w:val="00546612"/>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629B8"/>
    <w:rsid w:val="008731E2"/>
    <w:rsid w:val="008D2C2E"/>
    <w:rsid w:val="008F3341"/>
    <w:rsid w:val="00903844"/>
    <w:rsid w:val="0092418F"/>
    <w:rsid w:val="00A97ED7"/>
    <w:rsid w:val="00B23970"/>
    <w:rsid w:val="00BE4664"/>
    <w:rsid w:val="00C5376A"/>
    <w:rsid w:val="00CA370A"/>
    <w:rsid w:val="00CA4B11"/>
    <w:rsid w:val="00D84AC5"/>
    <w:rsid w:val="00D9293B"/>
    <w:rsid w:val="00E1001D"/>
    <w:rsid w:val="00E22559"/>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2760</TotalTime>
  <Pages>21</Pages>
  <Words>16888</Words>
  <Characters>96267</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17</cp:revision>
  <dcterms:created xsi:type="dcterms:W3CDTF">2025-01-02T09:35:00Z</dcterms:created>
  <dcterms:modified xsi:type="dcterms:W3CDTF">2025-01-10T15:02:00Z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