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proofErr w:type="spellStart"/>
      <w:r w:rsidR="00A70D28" w:rsidRPr="00A70D28">
        <w:rPr>
          <w:rFonts w:ascii="Times New Roman" w:hAnsi="Times New Roman" w:cs="Times New Roman"/>
          <w:sz w:val="24"/>
          <w:szCs w:val="24"/>
        </w:rPr>
        <w:t>mSigHdp</w:t>
      </w:r>
      <w:proofErr w:type="spellEnd"/>
      <w:r w:rsidR="00A70D28" w:rsidRPr="00A70D28">
        <w:rPr>
          <w:rFonts w:ascii="Times New Roman" w:hAnsi="Times New Roman" w:cs="Times New Roman"/>
          <w:sz w:val="24"/>
          <w:szCs w:val="24"/>
        </w:rPr>
        <w:t xml:space="preserve">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w:t>
      </w:r>
      <w:proofErr w:type="gramStart"/>
      <w:r w:rsidR="00A70D28" w:rsidRPr="00A70D28">
        <w:rPr>
          <w:rFonts w:ascii="Times New Roman" w:hAnsi="Times New Roman" w:cs="Times New Roman"/>
          <w:sz w:val="24"/>
          <w:szCs w:val="24"/>
        </w:rPr>
        <w:t>all of</w:t>
      </w:r>
      <w:proofErr w:type="gramEnd"/>
      <w:r w:rsidR="00A70D28" w:rsidRPr="00A70D28">
        <w:rPr>
          <w:rFonts w:ascii="Times New Roman" w:hAnsi="Times New Roman" w:cs="Times New Roman"/>
          <w:sz w:val="24"/>
          <w:szCs w:val="24"/>
        </w:rPr>
        <w:t xml:space="preserve">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 xml:space="preserve">Although </w:t>
      </w:r>
      <w:proofErr w:type="gramStart"/>
      <w:r w:rsidR="00A70D28" w:rsidRPr="00A70D28">
        <w:rPr>
          <w:rFonts w:ascii="Times New Roman" w:hAnsi="Times New Roman" w:cs="Times New Roman"/>
          <w:sz w:val="24"/>
          <w:szCs w:val="24"/>
        </w:rPr>
        <w:t>the long</w:t>
      </w:r>
      <w:proofErr w:type="gramEnd"/>
      <w:r w:rsidR="00A70D28" w:rsidRPr="00A70D28">
        <w:rPr>
          <w:rFonts w:ascii="Times New Roman" w:hAnsi="Times New Roman" w:cs="Times New Roman"/>
          <w:sz w:val="24"/>
          <w:szCs w:val="24"/>
        </w:rPr>
        <w:t xml:space="preserve"> deletion patterns are highly similar between ID5 and ID8, they exhibit distinct preferences in deletion length: ID5 primarily features long deletions less than 10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with almost no deletions longer than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while ID8 displays a more even distribution of deletions ranging from 5 to over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MSI tumors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 xml:space="preserve">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hint="eastAsia"/>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4A9DAFC6" w14:textId="4106E1F3" w:rsidR="00744AA4" w:rsidRPr="00744AA4" w:rsidRDefault="006223A3" w:rsidP="00744AA4">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sidR="00744AA4" w:rsidRPr="00744AA4">
        <w:rPr>
          <w:rFonts w:ascii="Times New Roman" w:hAnsi="Times New Roman" w:cs="Times New Roman"/>
          <w:sz w:val="24"/>
          <w:szCs w:val="24"/>
        </w:rPr>
        <w:t xml:space="preserve">ur extended sequence analysis reveals differences in sequence context: H_ID29 tends to delete CT/TC within tandem repeats, whereas a common NTNT motif is found in microhomologies (Figure 6A). </w:t>
      </w:r>
      <w:r w:rsidR="0063016B">
        <w:rPr>
          <w:rFonts w:ascii="Times New Roman" w:hAnsi="Times New Roman" w:cs="Times New Roman" w:hint="eastAsia"/>
          <w:sz w:val="24"/>
          <w:szCs w:val="24"/>
        </w:rPr>
        <w:t xml:space="preserve">The results from tumors with high H_ID29 activities demonstrate a highly similar patterns in deletion sequences when compared to </w:t>
      </w:r>
      <w:r w:rsidR="000A229C">
        <w:rPr>
          <w:rFonts w:ascii="Times New Roman" w:hAnsi="Times New Roman" w:cs="Times New Roman" w:hint="eastAsia"/>
          <w:sz w:val="24"/>
          <w:szCs w:val="24"/>
        </w:rPr>
        <w:t>our RNASEH2B null HEK293T cells and the published Rnaseh2b KO mouse tumors and RNase H2 null RPE1 cells</w:t>
      </w:r>
      <w:r w:rsidR="00BF0848">
        <w:rPr>
          <w:rFonts w:ascii="Times New Roman" w:hAnsi="Times New Roman" w:cs="Times New Roman" w:hint="eastAsia"/>
          <w:sz w:val="24"/>
          <w:szCs w:val="24"/>
        </w:rPr>
        <w:t xml:space="preserve"> (Figure 6B-D). </w:t>
      </w:r>
      <w:r w:rsidR="00744AA4" w:rsidRPr="00744AA4">
        <w:rPr>
          <w:rFonts w:ascii="Times New Roman" w:hAnsi="Times New Roman" w:cs="Times New Roman"/>
          <w:sz w:val="24"/>
          <w:szCs w:val="24"/>
        </w:rPr>
        <w:t>In contrast, C_ID4 displays a more balanced preference for deleting CT and TT within tandem repeats, with a common CTNTN motif present in microhomologies (Figure 6</w:t>
      </w:r>
      <w:r w:rsidR="00BF0848">
        <w:rPr>
          <w:rFonts w:ascii="Times New Roman" w:hAnsi="Times New Roman" w:cs="Times New Roman" w:hint="eastAsia"/>
          <w:sz w:val="24"/>
          <w:szCs w:val="24"/>
        </w:rPr>
        <w:t>E</w:t>
      </w:r>
      <w:r w:rsidR="00744AA4" w:rsidRPr="00744AA4">
        <w:rPr>
          <w:rFonts w:ascii="Times New Roman" w:hAnsi="Times New Roman" w:cs="Times New Roman"/>
          <w:sz w:val="24"/>
          <w:szCs w:val="24"/>
        </w:rPr>
        <w:t>).</w:t>
      </w:r>
    </w:p>
    <w:p w14:paraId="3A9B82A9" w14:textId="717143B1"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 xml:space="preserve">Figure S4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A861D6">
        <w:rPr>
          <w:rFonts w:ascii="Times New Roman" w:hAnsi="Times New Roman" w:cs="Times New Roman" w:hint="eastAsia"/>
          <w:sz w:val="24"/>
          <w:szCs w:val="24"/>
        </w:rPr>
        <w:t>(ID29 doesn</w:t>
      </w:r>
      <w:r w:rsidR="00A861D6">
        <w:rPr>
          <w:rFonts w:ascii="Times New Roman" w:hAnsi="Times New Roman" w:cs="Times New Roman"/>
          <w:sz w:val="24"/>
          <w:szCs w:val="24"/>
        </w:rPr>
        <w:t>’</w:t>
      </w:r>
      <w:r w:rsidR="00A861D6">
        <w:rPr>
          <w:rFonts w:ascii="Times New Roman" w:hAnsi="Times New Roman" w:cs="Times New Roman" w:hint="eastAsia"/>
          <w:sz w:val="24"/>
          <w:szCs w:val="24"/>
        </w:rPr>
        <w:t xml:space="preserve">t have 3-4bp deletions).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sidR="000069AB">
        <w:rPr>
          <w:rFonts w:ascii="Times New Roman" w:hAnsi="Times New Roman" w:cs="Times New Roman" w:hint="eastAsia"/>
          <w:sz w:val="24"/>
          <w:szCs w:val="24"/>
        </w:rPr>
        <w:t>INS:T</w:t>
      </w:r>
      <w:proofErr w:type="gramEnd"/>
      <w:r w:rsidR="000069AB">
        <w:rPr>
          <w:rFonts w:ascii="Times New Roman" w:hAnsi="Times New Roman" w:cs="Times New Roman" w:hint="eastAsia"/>
          <w:sz w:val="24"/>
          <w:szCs w:val="24"/>
        </w:rPr>
        <w: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H_ID32 primarily consists of 1 bp C/T insertions and deletions in TA-rich sequences, while H_ID26 describes T insertion sequences with a higher number of A bases (Figure 7C,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47B47EA3"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w:t>
      </w:r>
      <w:r w:rsidR="00831206">
        <w:rPr>
          <w:rFonts w:ascii="Times New Roman" w:hAnsi="Times New Roman" w:cs="Times New Roman" w:hint="eastAsia"/>
          <w:sz w:val="24"/>
          <w:szCs w:val="24"/>
        </w:rPr>
        <w:t>cancer types</w:t>
      </w:r>
      <w:r w:rsidR="00DC1053">
        <w:rPr>
          <w:rFonts w:ascii="Times New Roman" w:hAnsi="Times New Roman" w:cs="Times New Roman" w:hint="eastAsia"/>
          <w:sz w:val="24"/>
          <w:szCs w:val="24"/>
        </w:rPr>
        <w:t xml:space="preserve">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w:t>
      </w:r>
      <w:commentRangeStart w:id="4"/>
      <w:r w:rsidR="00383C4D" w:rsidRPr="008A1C58">
        <w:rPr>
          <w:rFonts w:ascii="Times New Roman" w:hAnsi="Times New Roman" w:cs="Times New Roman"/>
          <w:sz w:val="24"/>
          <w:szCs w:val="24"/>
        </w:rPr>
        <w:t>5,000 patients</w:t>
      </w:r>
      <w:commentRangeEnd w:id="4"/>
      <w:r w:rsidR="002A0658">
        <w:rPr>
          <w:rStyle w:val="CommentReference"/>
        </w:rPr>
        <w:commentReference w:id="4"/>
      </w:r>
      <w:r w:rsidR="00383C4D" w:rsidRPr="008A1C58">
        <w:rPr>
          <w:rFonts w:ascii="Times New Roman" w:hAnsi="Times New Roman" w:cs="Times New Roman"/>
          <w:sz w:val="24"/>
          <w:szCs w:val="24"/>
        </w:rPr>
        <w:t xml:space="preserve">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w:t>
      </w:r>
      <w:r w:rsidR="00831206">
        <w:rPr>
          <w:rFonts w:ascii="Times New Roman" w:hAnsi="Times New Roman" w:cs="Times New Roman" w:hint="eastAsia"/>
          <w:sz w:val="24"/>
          <w:szCs w:val="24"/>
        </w:rPr>
        <w:t>5</w:t>
      </w:r>
      <w:r w:rsidR="00383C4D" w:rsidRPr="008A1C58">
        <w:rPr>
          <w:rFonts w:ascii="Times New Roman" w:hAnsi="Times New Roman" w:cs="Times New Roman"/>
          <w:sz w:val="24"/>
          <w:szCs w:val="24"/>
        </w:rPr>
        <w:t xml:space="preserve">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 xml:space="preserve">8,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w:t>
      </w:r>
      <w:r w:rsidR="00831206">
        <w:rPr>
          <w:rFonts w:ascii="Times New Roman" w:hAnsi="Times New Roman" w:cs="Times New Roman" w:hint="eastAsia"/>
          <w:sz w:val="24"/>
          <w:szCs w:val="24"/>
        </w:rPr>
        <w:t>25</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831206">
        <w:rPr>
          <w:rFonts w:ascii="Times New Roman" w:hAnsi="Times New Roman" w:cs="Times New Roman" w:hint="eastAsia"/>
          <w:sz w:val="24"/>
          <w:szCs w:val="24"/>
        </w:rPr>
        <w:t xml:space="preserve">3 </w:t>
      </w:r>
      <w:r w:rsidR="000A1891">
        <w:rPr>
          <w:rFonts w:ascii="Times New Roman" w:hAnsi="Times New Roman" w:cs="Times New Roman" w:hint="eastAsia"/>
          <w:sz w:val="24"/>
          <w:szCs w:val="24"/>
        </w:rPr>
        <w:t>signature</w:t>
      </w:r>
      <w:r w:rsidR="00831206">
        <w:rPr>
          <w:rFonts w:ascii="Times New Roman" w:hAnsi="Times New Roman" w:cs="Times New Roman" w:hint="eastAsia"/>
          <w:sz w:val="24"/>
          <w:szCs w:val="24"/>
        </w:rPr>
        <w:t>s</w:t>
      </w:r>
      <w:r w:rsidR="000A1891">
        <w:rPr>
          <w:rFonts w:ascii="Times New Roman" w:hAnsi="Times New Roman" w:cs="Times New Roman" w:hint="eastAsia"/>
          <w:sz w:val="24"/>
          <w:szCs w:val="24"/>
        </w:rPr>
        <w:t xml:space="preserve"> (</w:t>
      </w:r>
      <w:r w:rsidR="00831206">
        <w:rPr>
          <w:rFonts w:ascii="Times New Roman" w:hAnsi="Times New Roman" w:cs="Times New Roman" w:hint="eastAsia"/>
          <w:sz w:val="24"/>
          <w:szCs w:val="24"/>
        </w:rPr>
        <w:t xml:space="preserve">C_ID2, C_ID9,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831206">
        <w:rPr>
          <w:rFonts w:ascii="Times New Roman" w:hAnsi="Times New Roman" w:cs="Times New Roman" w:hint="eastAsia"/>
          <w:sz w:val="24"/>
          <w:szCs w:val="24"/>
        </w:rPr>
        <w:t>were</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w:t>
      </w:r>
      <w:r w:rsidR="005E208D" w:rsidRPr="008A1C58">
        <w:rPr>
          <w:rFonts w:ascii="Times New Roman" w:hAnsi="Times New Roman" w:cs="Times New Roman"/>
          <w:sz w:val="24"/>
          <w:szCs w:val="24"/>
        </w:rPr>
        <w:lastRenderedPageBreak/>
        <w:t xml:space="preserve">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
      <w:proofErr w:type="spellEnd"/>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proofErr w:type="gramStart"/>
      <w:r w:rsidR="00EE4725" w:rsidRPr="008A1C58">
        <w:rPr>
          <w:rFonts w:ascii="Times New Roman" w:hAnsi="Times New Roman" w:cs="Times New Roman"/>
          <w:sz w:val="24"/>
          <w:szCs w:val="24"/>
        </w:rPr>
        <w:t>when</w:t>
      </w:r>
      <w:proofErr w:type="gramEnd"/>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w:t>
      </w:r>
      <w:r w:rsidR="003F75F8" w:rsidRPr="008A1C58">
        <w:rPr>
          <w:rFonts w:ascii="Times New Roman" w:hAnsi="Times New Roman" w:cs="Times New Roman"/>
          <w:sz w:val="24"/>
          <w:szCs w:val="24"/>
        </w:rPr>
        <w:lastRenderedPageBreak/>
        <w:t xml:space="preserve">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lastRenderedPageBreak/>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52001A">
        <w:rPr>
          <w:rFonts w:ascii="Times New Roman" w:hAnsi="Times New Roman" w:cs="Times New Roman"/>
          <w:sz w:val="24"/>
        </w:rPr>
        <w:lastRenderedPageBreak/>
        <w:t xml:space="preserve">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10T17:51:00Z" w:initials="ML">
    <w:p w14:paraId="0AE642C2" w14:textId="77777777" w:rsidR="002A0658" w:rsidRDefault="002A0658" w:rsidP="002A0658">
      <w:pPr>
        <w:pStyle w:val="CommentText"/>
      </w:pPr>
      <w:r>
        <w:rPr>
          <w:rStyle w:val="CommentReference"/>
        </w:rPr>
        <w:annotationRef/>
      </w:r>
      <w:r>
        <w:t>Check number</w:t>
      </w:r>
    </w:p>
  </w:comment>
  <w:comment w:id="5"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0AE642C2"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0474E80A" w16cex:dateUtc="2024-10-10T09:51: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0AE642C2" w16cid:durableId="0474E80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7AFB5" w14:textId="77777777" w:rsidR="00DE1E33" w:rsidRDefault="00DE1E33" w:rsidP="000F4F7D">
      <w:pPr>
        <w:spacing w:after="0" w:line="240" w:lineRule="auto"/>
      </w:pPr>
      <w:r>
        <w:separator/>
      </w:r>
    </w:p>
  </w:endnote>
  <w:endnote w:type="continuationSeparator" w:id="0">
    <w:p w14:paraId="4A36E2BA" w14:textId="77777777" w:rsidR="00DE1E33" w:rsidRDefault="00DE1E33" w:rsidP="000F4F7D">
      <w:pPr>
        <w:spacing w:after="0" w:line="240" w:lineRule="auto"/>
      </w:pPr>
      <w:r>
        <w:continuationSeparator/>
      </w:r>
    </w:p>
  </w:endnote>
  <w:endnote w:type="continuationNotice" w:id="1">
    <w:p w14:paraId="6F1534DF" w14:textId="77777777" w:rsidR="00DE1E33" w:rsidRDefault="00DE1E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89014" w14:textId="77777777" w:rsidR="00DE1E33" w:rsidRDefault="00DE1E33" w:rsidP="000F4F7D">
      <w:pPr>
        <w:spacing w:after="0" w:line="240" w:lineRule="auto"/>
      </w:pPr>
      <w:r>
        <w:separator/>
      </w:r>
    </w:p>
  </w:footnote>
  <w:footnote w:type="continuationSeparator" w:id="0">
    <w:p w14:paraId="405693DE" w14:textId="77777777" w:rsidR="00DE1E33" w:rsidRDefault="00DE1E33" w:rsidP="000F4F7D">
      <w:pPr>
        <w:spacing w:after="0" w:line="240" w:lineRule="auto"/>
      </w:pPr>
      <w:r>
        <w:continuationSeparator/>
      </w:r>
    </w:p>
  </w:footnote>
  <w:footnote w:type="continuationNotice" w:id="1">
    <w:p w14:paraId="6DFA67E9" w14:textId="77777777" w:rsidR="00DE1E33" w:rsidRDefault="00DE1E33">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5D"/>
    <w:rsid w:val="005857CC"/>
    <w:rsid w:val="00587F85"/>
    <w:rsid w:val="005909CA"/>
    <w:rsid w:val="00590BD8"/>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120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0DD0"/>
    <w:rsid w:val="00DE1E33"/>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77BE2"/>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341629"/>
    <w:rsid w:val="00363FD3"/>
    <w:rsid w:val="003E3342"/>
    <w:rsid w:val="003F2736"/>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B6CC3"/>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20</Pages>
  <Words>16471</Words>
  <Characters>93891</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15</cp:revision>
  <dcterms:created xsi:type="dcterms:W3CDTF">2024-10-09T08:58:00Z</dcterms:created>
  <dcterms:modified xsi:type="dcterms:W3CDTF">2024-10-17T11:06:00Z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