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6872D02"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0315B">
        <w:rPr>
          <w:rFonts w:ascii="Times New Roman" w:hAnsi="Times New Roman" w:cs="Times New Roman" w:hint="eastAsia"/>
          <w:sz w:val="24"/>
          <w:szCs w:val="24"/>
        </w:rPr>
        <w:t xml:space="preserve">Ying Yang,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389A3D4D"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886667">
        <w:rPr>
          <w:rFonts w:ascii="Times New Roman" w:hAnsi="Times New Roman" w:cs="Times New Roman"/>
          <w:sz w:val="24"/>
          <w:szCs w:val="24"/>
          <w:highlight w:val="yellow"/>
        </w:rPr>
        <w:t xml:space="preserve">We examined PCAWG tumors with reported ID5 activity from Alexandrov et al., finding that </w:t>
      </w:r>
      <w:r w:rsidR="001F29C7">
        <w:rPr>
          <w:rFonts w:ascii="Times New Roman" w:hAnsi="Times New Roman" w:cs="Times New Roman" w:hint="eastAsia"/>
          <w:sz w:val="24"/>
          <w:szCs w:val="24"/>
          <w:highlight w:val="yellow"/>
        </w:rPr>
        <w:t>a high correlation between ID5 activity and ID8 activity in most cancer types</w:t>
      </w:r>
      <w:r w:rsidR="001D6AA1">
        <w:rPr>
          <w:rFonts w:ascii="Times New Roman" w:hAnsi="Times New Roman" w:cs="Times New Roman" w:hint="eastAsia"/>
          <w:sz w:val="24"/>
          <w:szCs w:val="24"/>
          <w:highlight w:val="yellow"/>
        </w:rPr>
        <w:t xml:space="preserve"> with both active ID5 and ID8 </w:t>
      </w:r>
      <w:r w:rsidR="0065763E" w:rsidRPr="00886667">
        <w:rPr>
          <w:rFonts w:ascii="Times New Roman" w:hAnsi="Times New Roman" w:cs="Times New Roman" w:hint="eastAsia"/>
          <w:sz w:val="24"/>
          <w:szCs w:val="24"/>
          <w:highlight w:val="yellow"/>
        </w:rPr>
        <w:t>(</w:t>
      </w:r>
      <w:r w:rsidR="006909AF">
        <w:rPr>
          <w:rFonts w:ascii="Times New Roman" w:hAnsi="Times New Roman" w:cs="Times New Roman" w:hint="eastAsia"/>
          <w:sz w:val="24"/>
          <w:szCs w:val="24"/>
          <w:highlight w:val="yellow"/>
        </w:rPr>
        <w:t>Figure S2E</w:t>
      </w:r>
      <w:r w:rsidR="0065763E" w:rsidRPr="00886667">
        <w:rPr>
          <w:rFonts w:ascii="Times New Roman" w:hAnsi="Times New Roman" w:cs="Times New Roman" w:hint="eastAsia"/>
          <w:sz w:val="24"/>
          <w:szCs w:val="24"/>
          <w:highlight w:val="yellow"/>
        </w:rPr>
        <w:t>)</w:t>
      </w:r>
      <w:r w:rsidR="00A70D28" w:rsidRPr="00886667">
        <w:rPr>
          <w:rFonts w:ascii="Times New Roman" w:hAnsi="Times New Roman" w:cs="Times New Roman"/>
          <w:sz w:val="24"/>
          <w:szCs w:val="24"/>
          <w:highlight w:val="yellow"/>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 xml:space="preserve">A, B </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634FAD07"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w:t>
      </w:r>
      <w:r w:rsidR="00386D65">
        <w:rPr>
          <w:rFonts w:ascii="Times New Roman" w:hAnsi="Times New Roman" w:cs="Times New Roman" w:hint="eastAsia"/>
          <w:sz w:val="24"/>
          <w:szCs w:val="24"/>
        </w:rPr>
        <w:t>4</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111 MSI tumors beyond the 91 previously reported in the literature. In total, we identified 202 MSI tumors with SBS mutation counts ranging from 10,839 to 2,432,617 and indel mutations ranging from 5,060 to 318,631. For subsequent analyses, we will refer to these 202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FAD931A"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signatures. Importantly, </w:t>
      </w:r>
      <w:r w:rsidR="006E650B">
        <w:rPr>
          <w:rFonts w:ascii="Times New Roman" w:hAnsi="Times New Roman" w:cs="Times New Roman" w:hint="eastAsia"/>
          <w:sz w:val="24"/>
          <w:szCs w:val="24"/>
        </w:rPr>
        <w:t xml:space="preserve">the five </w:t>
      </w:r>
      <w:r w:rsidRPr="00442D83">
        <w:rPr>
          <w:rFonts w:ascii="Times New Roman" w:hAnsi="Times New Roman" w:cs="Times New Roman"/>
          <w:sz w:val="24"/>
          <w:szCs w:val="24"/>
        </w:rPr>
        <w:t>MSI-associated signatures</w:t>
      </w:r>
      <w:r w:rsidR="006E650B">
        <w:rPr>
          <w:rFonts w:ascii="Times New Roman" w:hAnsi="Times New Roman" w:cs="Times New Roman" w:hint="eastAsia"/>
          <w:sz w:val="24"/>
          <w:szCs w:val="24"/>
        </w:rPr>
        <w:t xml:space="preserve">, C_ID7, H_ID33, H_ID34, H_ID37 and H_ID38, </w:t>
      </w:r>
      <w:r w:rsidRPr="00442D83">
        <w:rPr>
          <w:rFonts w:ascii="Times New Roman" w:hAnsi="Times New Roman" w:cs="Times New Roman"/>
          <w:sz w:val="24"/>
          <w:szCs w:val="24"/>
        </w:rPr>
        <w:t xml:space="preserve"> exhibit significantly greater activity and enrichment in MSI tumors compared to MSS tumors (Figure 4E; Supplementary Table).</w:t>
      </w:r>
    </w:p>
    <w:p w14:paraId="281E80B0"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4F). Although H_ID33 and H_ID37 describe similar deletion patterns, H_ID37 occurs exclusively in high C_ID2 tumors, whereas H_ID33 often co-occurs with C_ID2 (Supplementary Figure). We propose a correlation </w:t>
      </w:r>
      <w:r w:rsidRPr="00442D83">
        <w:rPr>
          <w:rFonts w:ascii="Times New Roman" w:hAnsi="Times New Roman" w:cs="Times New Roman"/>
          <w:sz w:val="24"/>
          <w:szCs w:val="24"/>
        </w:rPr>
        <w:lastRenderedPageBreak/>
        <w:t>among the deletions of T, TT, and TTT sequences. Additionally, we observed a broader range of variant allele frequencies (VAFs) for single-base deletions compared to those for doublets and triplets (Figure 4G).</w:t>
      </w:r>
    </w:p>
    <w:p w14:paraId="353BA77F"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TT repeats; (2) in low C_ID2 tumors, H_ID38 shows a higher ratio of AT/TA insertions compared to its weaker preference in higher C_ID2 tumors. Among the five identified MSI signatures, only one describes insertion patterns; this may reflect the tendency for MSI tumors to exhibit a greater prevalence of deletions than insertions (Figure 4H).</w:t>
      </w:r>
    </w:p>
    <w:p w14:paraId="70360450" w14:textId="73D323B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 xml:space="preserve">Figure 4I, </w:t>
      </w:r>
      <w:commentRangeStart w:id="2"/>
      <w:proofErr w:type="spellStart"/>
      <w:r w:rsidR="00CB704C">
        <w:rPr>
          <w:rFonts w:ascii="Times New Roman" w:hAnsi="Times New Roman" w:cs="Times New Roman" w:hint="eastAsia"/>
          <w:sz w:val="24"/>
          <w:szCs w:val="24"/>
        </w:rPr>
        <w:t>FiguresS</w:t>
      </w:r>
      <w:proofErr w:type="spellEnd"/>
      <w:r w:rsidRPr="00442D83">
        <w:rPr>
          <w:rFonts w:ascii="Times New Roman" w:hAnsi="Times New Roman" w:cs="Times New Roman"/>
          <w:sz w:val="24"/>
          <w:szCs w:val="24"/>
        </w:rPr>
        <w:t>)</w:t>
      </w:r>
      <w:commentRangeEnd w:id="2"/>
      <w:r w:rsidR="00294EEB">
        <w:rPr>
          <w:rStyle w:val="CommentReference"/>
        </w:rPr>
        <w:commentReference w:id="2"/>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w:t>
      </w:r>
      <w:r w:rsidRPr="00744AA4">
        <w:rPr>
          <w:rFonts w:ascii="Times New Roman" w:hAnsi="Times New Roman" w:cs="Times New Roman"/>
          <w:sz w:val="24"/>
          <w:szCs w:val="24"/>
        </w:rPr>
        <w:lastRenderedPageBreak/>
        <w:t xml:space="preserve">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w:t>
      </w:r>
      <w:r w:rsidRPr="00706990">
        <w:rPr>
          <w:rFonts w:ascii="Times New Roman" w:hAnsi="Times New Roman" w:cs="Times New Roman"/>
          <w:sz w:val="24"/>
          <w:szCs w:val="24"/>
        </w:rPr>
        <w:lastRenderedPageBreak/>
        <w:t>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4CB0E5F3"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w:t>
      </w:r>
      <w:r w:rsidR="00736441" w:rsidRPr="00736441">
        <w:rPr>
          <w:rFonts w:ascii="Times New Roman" w:hAnsi="Times New Roman" w:cs="Times New Roman" w:hint="eastAsia"/>
          <w:sz w:val="24"/>
          <w:szCs w:val="24"/>
        </w:rPr>
        <w:lastRenderedPageBreak/>
        <w:t xml:space="preserve">cancer type, </w:t>
      </w:r>
      <w:r w:rsidR="008F0912">
        <w:rPr>
          <w:rFonts w:ascii="Times New Roman" w:hAnsi="Times New Roman" w:cs="Times New Roman" w:hint="eastAsia"/>
          <w:sz w:val="24"/>
          <w:szCs w:val="24"/>
        </w:rPr>
        <w:t xml:space="preserve">cohort, </w:t>
      </w:r>
      <w:r w:rsidR="00736441" w:rsidRPr="00736441">
        <w:rPr>
          <w:rFonts w:ascii="Times New Roman" w:hAnsi="Times New Roman" w:cs="Times New Roman"/>
          <w:sz w:val="24"/>
          <w:szCs w:val="24"/>
        </w:rPr>
        <w:t xml:space="preserve">as predictors to examine the associations (Figure 8A). Consistent with </w:t>
      </w:r>
      <w:r w:rsidR="006F24C9">
        <w:rPr>
          <w:rFonts w:ascii="Times New Roman" w:hAnsi="Times New Roman" w:cs="Times New Roman" w:hint="eastAsia"/>
          <w:sz w:val="24"/>
          <w:szCs w:val="24"/>
        </w:rPr>
        <w:t xml:space="preserve">previous </w:t>
      </w:r>
      <w:r w:rsidR="00D13DD1">
        <w:rPr>
          <w:rFonts w:ascii="Times New Roman" w:hAnsi="Times New Roman" w:cs="Times New Roman" w:hint="eastAsia"/>
          <w:sz w:val="24"/>
          <w:szCs w:val="24"/>
        </w:rPr>
        <w:t>observations</w:t>
      </w:r>
      <w:r w:rsidR="00736441" w:rsidRPr="00736441">
        <w:rPr>
          <w:rFonts w:ascii="Times New Roman" w:hAnsi="Times New Roman" w:cs="Times New Roman"/>
          <w:sz w:val="24"/>
          <w:szCs w:val="24"/>
        </w:rPr>
        <w:t xml:space="preserve">, C_ID3 was significantly prevalent in lung cancers, while C_ID13 was more common in skin cancers. 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R and p value of </w:t>
      </w:r>
      <w:r w:rsidR="003D71E8">
        <w:rPr>
          <w:rFonts w:ascii="Times New Roman" w:hAnsi="Times New Roman" w:cs="Times New Roman"/>
          <w:sz w:val="24"/>
          <w:szCs w:val="24"/>
        </w:rPr>
        <w:t>Pearson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00C7917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296ED63D"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w:t>
      </w:r>
      <w:r w:rsidRPr="00EF04C1">
        <w:rPr>
          <w:rFonts w:ascii="Times New Roman" w:hAnsi="Times New Roman" w:cs="Times New Roman"/>
          <w:sz w:val="24"/>
          <w:szCs w:val="24"/>
        </w:rPr>
        <w:lastRenderedPageBreak/>
        <w:t>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3"/>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3"/>
      <w:proofErr w:type="spellEnd"/>
      <w:r w:rsidR="00706990">
        <w:rPr>
          <w:rStyle w:val="CommentReference"/>
        </w:rPr>
        <w:commentReference w:id="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t>Need help here</w:t>
      </w:r>
      <w:commentRangeEnd w:id="4"/>
      <w:r w:rsidR="00824151" w:rsidRPr="008A1C58">
        <w:rPr>
          <w:rStyle w:val="CommentReference"/>
          <w:rFonts w:ascii="Times New Roman" w:hAnsi="Times New Roman" w:cs="Times New Roman"/>
          <w:sz w:val="24"/>
          <w:szCs w:val="24"/>
        </w:rPr>
        <w:commentReference w:id="4"/>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w:t>
      </w:r>
      <w:r w:rsidRPr="0052001A">
        <w:rPr>
          <w:rFonts w:ascii="Times New Roman" w:hAnsi="Times New Roman" w:cs="Times New Roman"/>
          <w:sz w:val="24"/>
        </w:rPr>
        <w:lastRenderedPageBreak/>
        <w:t xml:space="preserve">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52001A">
        <w:rPr>
          <w:rFonts w:ascii="Times New Roman" w:hAnsi="Times New Roman" w:cs="Times New Roman"/>
          <w:sz w:val="24"/>
        </w:rPr>
        <w:lastRenderedPageBreak/>
        <w:t xml:space="preserve">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2-26T15:25:00Z" w:initials="ML">
    <w:p w14:paraId="1638B541" w14:textId="77777777" w:rsidR="00294EEB" w:rsidRDefault="00294EEB" w:rsidP="00294EEB">
      <w:pPr>
        <w:pStyle w:val="CommentText"/>
      </w:pPr>
      <w:r>
        <w:rPr>
          <w:rStyle w:val="CommentReference"/>
        </w:rPr>
        <w:annotationRef/>
      </w:r>
      <w:r>
        <w:t>To edit</w:t>
      </w:r>
    </w:p>
  </w:comment>
  <w:comment w:id="3"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 w:id="4"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1638B541"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2A8453BE" w16cex:dateUtc="2024-12-26T07:25: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1638B541" w16cid:durableId="2A8453BE"/>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71BBD" w14:textId="77777777" w:rsidR="00FB417E" w:rsidRDefault="00FB417E" w:rsidP="000F4F7D">
      <w:pPr>
        <w:spacing w:after="0" w:line="240" w:lineRule="auto"/>
      </w:pPr>
      <w:r>
        <w:separator/>
      </w:r>
    </w:p>
  </w:endnote>
  <w:endnote w:type="continuationSeparator" w:id="0">
    <w:p w14:paraId="57F91FA7" w14:textId="77777777" w:rsidR="00FB417E" w:rsidRDefault="00FB417E" w:rsidP="000F4F7D">
      <w:pPr>
        <w:spacing w:after="0" w:line="240" w:lineRule="auto"/>
      </w:pPr>
      <w:r>
        <w:continuationSeparator/>
      </w:r>
    </w:p>
  </w:endnote>
  <w:endnote w:type="continuationNotice" w:id="1">
    <w:p w14:paraId="372EBD6F" w14:textId="77777777" w:rsidR="00FB417E" w:rsidRDefault="00FB4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E2342" w14:textId="77777777" w:rsidR="00FB417E" w:rsidRDefault="00FB417E" w:rsidP="000F4F7D">
      <w:pPr>
        <w:spacing w:after="0" w:line="240" w:lineRule="auto"/>
      </w:pPr>
      <w:r>
        <w:separator/>
      </w:r>
    </w:p>
  </w:footnote>
  <w:footnote w:type="continuationSeparator" w:id="0">
    <w:p w14:paraId="2C6D5200" w14:textId="77777777" w:rsidR="00FB417E" w:rsidRDefault="00FB417E" w:rsidP="000F4F7D">
      <w:pPr>
        <w:spacing w:after="0" w:line="240" w:lineRule="auto"/>
      </w:pPr>
      <w:r>
        <w:continuationSeparator/>
      </w:r>
    </w:p>
  </w:footnote>
  <w:footnote w:type="continuationNotice" w:id="1">
    <w:p w14:paraId="1CB51D8C" w14:textId="77777777" w:rsidR="00FB417E" w:rsidRDefault="00FB417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173B"/>
    <w:rsid w:val="001925AB"/>
    <w:rsid w:val="001A044C"/>
    <w:rsid w:val="001A4027"/>
    <w:rsid w:val="001A6C46"/>
    <w:rsid w:val="001B063A"/>
    <w:rsid w:val="001B222F"/>
    <w:rsid w:val="001B264C"/>
    <w:rsid w:val="001B7BC8"/>
    <w:rsid w:val="001C05A7"/>
    <w:rsid w:val="001C1806"/>
    <w:rsid w:val="001C3296"/>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61FD"/>
    <w:rsid w:val="003A63AB"/>
    <w:rsid w:val="003A651F"/>
    <w:rsid w:val="003A729B"/>
    <w:rsid w:val="003B0160"/>
    <w:rsid w:val="003B302B"/>
    <w:rsid w:val="003B6E15"/>
    <w:rsid w:val="003C040C"/>
    <w:rsid w:val="003C3043"/>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4134"/>
    <w:rsid w:val="00534A39"/>
    <w:rsid w:val="00534DF7"/>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0C8F"/>
    <w:rsid w:val="006C1AF1"/>
    <w:rsid w:val="006C1BE3"/>
    <w:rsid w:val="006C647A"/>
    <w:rsid w:val="006C6528"/>
    <w:rsid w:val="006C680E"/>
    <w:rsid w:val="006C6D41"/>
    <w:rsid w:val="006D042E"/>
    <w:rsid w:val="006D1400"/>
    <w:rsid w:val="006D5308"/>
    <w:rsid w:val="006D730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5BDD"/>
    <w:rsid w:val="00817D33"/>
    <w:rsid w:val="00817D86"/>
    <w:rsid w:val="00824151"/>
    <w:rsid w:val="00825849"/>
    <w:rsid w:val="00826656"/>
    <w:rsid w:val="00831206"/>
    <w:rsid w:val="00833DE0"/>
    <w:rsid w:val="00834949"/>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32EF"/>
    <w:rsid w:val="0092418F"/>
    <w:rsid w:val="009244F1"/>
    <w:rsid w:val="00925DC8"/>
    <w:rsid w:val="0092728E"/>
    <w:rsid w:val="009305D4"/>
    <w:rsid w:val="00930A57"/>
    <w:rsid w:val="009313DF"/>
    <w:rsid w:val="00932AA9"/>
    <w:rsid w:val="00933978"/>
    <w:rsid w:val="009345A7"/>
    <w:rsid w:val="00935984"/>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15B"/>
    <w:rsid w:val="00A03A6E"/>
    <w:rsid w:val="00A04D39"/>
    <w:rsid w:val="00A06E62"/>
    <w:rsid w:val="00A074FF"/>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2197"/>
    <w:rsid w:val="00B07E3E"/>
    <w:rsid w:val="00B102CF"/>
    <w:rsid w:val="00B10819"/>
    <w:rsid w:val="00B11B51"/>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5170"/>
    <w:rsid w:val="00BB5A30"/>
    <w:rsid w:val="00BB628E"/>
    <w:rsid w:val="00BB7AF3"/>
    <w:rsid w:val="00BC0474"/>
    <w:rsid w:val="00BC13C4"/>
    <w:rsid w:val="00BC13E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371D"/>
    <w:rsid w:val="00C76AB8"/>
    <w:rsid w:val="00C83163"/>
    <w:rsid w:val="00C9051E"/>
    <w:rsid w:val="00C91439"/>
    <w:rsid w:val="00C91CC9"/>
    <w:rsid w:val="00C91FF2"/>
    <w:rsid w:val="00C947A9"/>
    <w:rsid w:val="00C95039"/>
    <w:rsid w:val="00CA370A"/>
    <w:rsid w:val="00CA4AC1"/>
    <w:rsid w:val="00CB10DA"/>
    <w:rsid w:val="00CB1D3B"/>
    <w:rsid w:val="00CB2E70"/>
    <w:rsid w:val="00CB3861"/>
    <w:rsid w:val="00CB6D08"/>
    <w:rsid w:val="00CB6D24"/>
    <w:rsid w:val="00CB704C"/>
    <w:rsid w:val="00CC021D"/>
    <w:rsid w:val="00CC0476"/>
    <w:rsid w:val="00CC13C4"/>
    <w:rsid w:val="00CC2B37"/>
    <w:rsid w:val="00CC4B04"/>
    <w:rsid w:val="00CC730C"/>
    <w:rsid w:val="00CC7454"/>
    <w:rsid w:val="00CD2DB8"/>
    <w:rsid w:val="00CD3484"/>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B1ECB"/>
    <w:rsid w:val="005E4330"/>
    <w:rsid w:val="00600C72"/>
    <w:rsid w:val="00626337"/>
    <w:rsid w:val="006448A7"/>
    <w:rsid w:val="00697A27"/>
    <w:rsid w:val="006B19E8"/>
    <w:rsid w:val="006E0F37"/>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16924</Words>
  <Characters>96471</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cp:revision>
  <dcterms:created xsi:type="dcterms:W3CDTF">2024-12-26T07:25:00Z</dcterms:created>
  <dcterms:modified xsi:type="dcterms:W3CDTF">2024-12-27T13:22:00Z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