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A60DDB">
        <w:rPr>
          <w:rFonts w:ascii="Times New Roman" w:hAnsi="Times New Roman" w:cs="Times New Roman"/>
          <w:sz w:val="24"/>
          <w:szCs w:val="24"/>
        </w:rPr>
        <w:t>Runtian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505C74C7"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Pr="005B5A38">
        <w:rPr>
          <w:rFonts w:ascii="Times New Roman" w:hAnsi="Times New Roman" w:cs="Times New Roman"/>
          <w:sz w:val="24"/>
          <w:szCs w:val="24"/>
        </w:rPr>
        <w:t xml:space="preserve">novel signature, H_ID29,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study</w:t>
      </w:r>
      <w:commentRangeStart w:id="1"/>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6B26E7">
        <w:rPr>
          <w:rFonts w:ascii="Times New Roman" w:hAnsi="Times New Roman" w:cs="Times New Roman" w:hint="eastAsia"/>
          <w:sz w:val="24"/>
          <w:szCs w:val="24"/>
          <w:highlight w:val="yellow"/>
        </w:rPr>
        <w:t>six</w:t>
      </w:r>
      <w:r w:rsidRPr="00F63C33">
        <w:rPr>
          <w:rFonts w:ascii="Times New Roman" w:hAnsi="Times New Roman" w:cs="Times New Roman"/>
          <w:sz w:val="24"/>
          <w:szCs w:val="24"/>
          <w:highlight w:val="yellow"/>
        </w:rPr>
        <w:t xml:space="preserve"> </w:t>
      </w:r>
      <w:r w:rsidR="006B26E7">
        <w:rPr>
          <w:rFonts w:ascii="Times New Roman" w:hAnsi="Times New Roman" w:cs="Times New Roman" w:hint="eastAsia"/>
          <w:sz w:val="24"/>
          <w:szCs w:val="24"/>
          <w:highlight w:val="yellow"/>
        </w:rPr>
        <w:t>Indel</w:t>
      </w:r>
      <w:r w:rsidRPr="00F63C33">
        <w:rPr>
          <w:rFonts w:ascii="Times New Roman" w:hAnsi="Times New Roman" w:cs="Times New Roman"/>
          <w:sz w:val="24"/>
          <w:szCs w:val="24"/>
          <w:highlight w:val="yellow"/>
        </w:rPr>
        <w:t xml:space="preserve">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commentRangeEnd w:id="1"/>
      <w:r w:rsidR="00FF4B49">
        <w:rPr>
          <w:rStyle w:val="CommentReference"/>
        </w:rPr>
        <w:commentReference w:id="1"/>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commentRangeStart w:id="2"/>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Colin?</w:t>
      </w:r>
      <w:r w:rsidR="0066505A">
        <w:rPr>
          <w:rFonts w:ascii="Times New Roman" w:hAnsi="Times New Roman" w:cs="Times New Roman"/>
          <w:sz w:val="24"/>
          <w:szCs w:val="24"/>
        </w:rPr>
        <w:t>;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w:t>
      </w:r>
      <w:commentRangeEnd w:id="2"/>
      <w:r w:rsidR="005B5A38">
        <w:rPr>
          <w:rStyle w:val="CommentReference"/>
        </w:rPr>
        <w:commentReference w:id="2"/>
      </w:r>
      <w:r w:rsidRPr="00065370">
        <w:rPr>
          <w:rFonts w:ascii="Times New Roman" w:hAnsi="Times New Roman" w:cs="Times New Roman"/>
          <w:sz w:val="24"/>
          <w:szCs w:val="24"/>
        </w:rPr>
        <w:t xml:space="preserve">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w:t>
      </w:r>
      <w:r w:rsidR="000D57D3">
        <w:rPr>
          <w:rFonts w:ascii="Times New Roman" w:hAnsi="Times New Roman" w:cs="Times New Roman" w:hint="eastAsia"/>
          <w:sz w:val="24"/>
          <w:szCs w:val="24"/>
        </w:rPr>
        <w:lastRenderedPageBreak/>
        <w:t xml:space="preserve">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4C1458A5" w14:textId="0FB0372A" w:rsidR="0081479B"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6"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p>
    <w:p w14:paraId="020E3478" w14:textId="77777777" w:rsidR="0081479B" w:rsidRDefault="0081479B" w:rsidP="008A1C58">
      <w:pPr>
        <w:spacing w:line="480" w:lineRule="auto"/>
        <w:rPr>
          <w:rFonts w:ascii="Times New Roman" w:hAnsi="Times New Roman" w:cs="Times New Roman"/>
          <w:sz w:val="24"/>
          <w:szCs w:val="24"/>
        </w:rPr>
      </w:pPr>
    </w:p>
    <w:p w14:paraId="39665DE3" w14:textId="7610EAD7" w:rsidR="006F083F" w:rsidRPr="0081479B" w:rsidRDefault="006F083F" w:rsidP="008A1C58">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Because each system distinguishes mutation types that the other system groups together, i</w:t>
      </w:r>
      <w:r w:rsidR="00E14A15" w:rsidRPr="0081479B">
        <w:rPr>
          <w:rFonts w:ascii="Times New Roman" w:hAnsi="Times New Roman" w:cs="Times New Roman"/>
          <w:sz w:val="24"/>
          <w:szCs w:val="24"/>
          <w:highlight w:val="yellow"/>
        </w:rPr>
        <w:t>t is</w:t>
      </w:r>
      <w:r w:rsidRPr="0081479B">
        <w:rPr>
          <w:rFonts w:ascii="Times New Roman" w:hAnsi="Times New Roman" w:cs="Times New Roman"/>
          <w:sz w:val="24"/>
          <w:szCs w:val="24"/>
          <w:highlight w:val="yellow"/>
        </w:rPr>
        <w:t xml:space="preserve"> impossible to algorithmically map signatures between the two classifications. </w:t>
      </w:r>
    </w:p>
    <w:p w14:paraId="0A714010" w14:textId="1F5BE8FF" w:rsidR="0081479B" w:rsidRDefault="0081479B" w:rsidP="00B8798B">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 xml:space="preserve">and subdivides some single base substitutions according to </w:t>
      </w:r>
      <w:r w:rsidRPr="0081479B">
        <w:rPr>
          <w:rFonts w:ascii="Times New Roman" w:hAnsi="Times New Roman" w:cs="Times New Roman" w:hint="eastAsia"/>
          <w:sz w:val="24"/>
          <w:szCs w:val="24"/>
          <w:highlight w:val="yellow"/>
        </w:rPr>
        <w:t>surrounding</w:t>
      </w:r>
      <w:r w:rsidRPr="0081479B">
        <w:rPr>
          <w:rFonts w:ascii="Times New Roman" w:hAnsi="Times New Roman" w:cs="Times New Roman"/>
          <w:sz w:val="24"/>
          <w:szCs w:val="24"/>
          <w:highlight w:val="yellow"/>
        </w:rPr>
        <w:t xml:space="preserve"> sequence context, while at the same time merging some indel types that are distinct in the Indel89 system</w:t>
      </w:r>
    </w:p>
    <w:p w14:paraId="5F9EABD3" w14:textId="77777777" w:rsidR="0081479B" w:rsidRDefault="0081479B" w:rsidP="00B8798B">
      <w:pPr>
        <w:spacing w:line="480" w:lineRule="auto"/>
        <w:rPr>
          <w:rFonts w:ascii="Times New Roman" w:hAnsi="Times New Roman" w:cs="Times New Roman"/>
          <w:sz w:val="24"/>
          <w:szCs w:val="24"/>
          <w:highlight w:val="yellow"/>
        </w:rPr>
      </w:pPr>
    </w:p>
    <w:p w14:paraId="60479F4D" w14:textId="432B581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w:t>
      </w:r>
      <w:r w:rsidRPr="00B8798B">
        <w:rPr>
          <w:rFonts w:ascii="Times New Roman" w:hAnsi="Times New Roman" w:cs="Times New Roman" w:hint="eastAsia"/>
          <w:sz w:val="24"/>
          <w:szCs w:val="24"/>
        </w:rPr>
        <w:lastRenderedPageBreak/>
        <w:t>ACAGG) exhibits a 2-bp microhomology (CA), which guides DNA repair via annealing of complementary sequences.</w:t>
      </w:r>
    </w:p>
    <w:p w14:paraId="3C98B4D1" w14:textId="721878CC"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r w:rsidR="00D6391F">
        <w:rPr>
          <w:rFonts w:ascii="Times New Roman" w:hAnsi="Times New Roman" w:cs="Times New Roman"/>
          <w:sz w:val="24"/>
          <w:szCs w:val="24"/>
        </w:rPr>
        <w:t>single</w:t>
      </w:r>
      <w:r w:rsidR="00793B7C">
        <w:rPr>
          <w:rFonts w:ascii="Times New Roman" w:hAnsi="Times New Roman" w:cs="Times New Roman"/>
          <w:sz w:val="24"/>
          <w:szCs w:val="24"/>
        </w:rPr>
        <w:t xml:space="preserve">-base-pair indels, which </w:t>
      </w:r>
      <w:r w:rsidR="00D6391F">
        <w:rPr>
          <w:rFonts w:ascii="Times New Roman" w:hAnsi="Times New Roman" w:cs="Times New Roman"/>
          <w:sz w:val="24"/>
          <w:szCs w:val="24"/>
        </w:rPr>
        <w:t>lets it</w:t>
      </w:r>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lastRenderedPageBreak/>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3"/>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3"/>
      <w:r w:rsidR="00FC0DE7">
        <w:rPr>
          <w:rStyle w:val="CommentReference"/>
        </w:rPr>
        <w:commentReference w:id="3"/>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01D0C79"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xml:space="preserve">, details in </w:t>
      </w:r>
      <w:r w:rsidR="002225D2">
        <w:rPr>
          <w:rFonts w:ascii="Times New Roman" w:hAnsi="Times New Roman" w:cs="Times New Roman" w:hint="eastAsia"/>
          <w:sz w:val="24"/>
          <w:szCs w:val="24"/>
        </w:rPr>
        <w:lastRenderedPageBreak/>
        <w:t>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418ABF9D"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45EE1F26"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F184A4B"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(see Methods and Table S).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4EEEB6C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5A8D2D"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68C324EF"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64DE05C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15B63520"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Tophography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608CD5F7"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1935126F"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37804079"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6B8D7E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7BE2FEAF"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‘L(2, ):U(1,2):R(5,9)’. Both InsDel33 and InsDel7 also share peaks reflecting 1 bp T deletions from polyT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2E2C9DF7"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MSISeq-derived status (Figure S).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173A022"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2660758C" w:rsidR="00744AA4" w:rsidRPr="00744AA4" w:rsidRDefault="004F5B35" w:rsidP="00744AA4">
      <w:pPr>
        <w:spacing w:line="480" w:lineRule="auto"/>
        <w:rPr>
          <w:rFonts w:ascii="Times New Roman" w:hAnsi="Times New Roman" w:cs="Times New Roman"/>
          <w:sz w:val="24"/>
          <w:szCs w:val="24"/>
        </w:rPr>
      </w:pPr>
      <w:commentRangeStart w:id="4"/>
      <w:commentRangeEnd w:id="4"/>
      <w:r>
        <w:rPr>
          <w:rStyle w:val="CommentReference"/>
        </w:rPr>
        <w:commentReference w:id="4"/>
      </w:r>
      <w:r w:rsidR="0088308B" w:rsidRPr="0088308B">
        <w:t xml:space="preserve"> </w:t>
      </w:r>
      <w:r w:rsidR="0088308B"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0088308B"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8DD648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w:t>
      </w:r>
      <w:r w:rsidR="00E65FD8">
        <w:rPr>
          <w:rFonts w:ascii="Times New Roman" w:hAnsi="Times New Roman" w:cs="Times New Roman"/>
          <w:sz w:val="24"/>
          <w:szCs w:val="24"/>
        </w:rPr>
        <w:t>Indel8</w:t>
      </w:r>
      <w:r w:rsidR="00C5640C">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5"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6" w:name="_Hlk191059301"/>
      <w:r w:rsidRPr="00D343FD">
        <w:rPr>
          <w:rFonts w:ascii="Times New Roman" w:hAnsi="Times New Roman" w:cs="Times New Roman"/>
          <w:sz w:val="24"/>
          <w:szCs w:val="24"/>
        </w:rPr>
        <w:t>RNASEH2b</w:t>
      </w:r>
      <w:bookmarkEnd w:id="6"/>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7-11T15:20:00Z" w:initials="ML">
    <w:p w14:paraId="68F564F9" w14:textId="77777777" w:rsidR="00FF4B49" w:rsidRDefault="00FF4B49" w:rsidP="00FF4B49">
      <w:pPr>
        <w:pStyle w:val="CommentText"/>
      </w:pPr>
      <w:r>
        <w:rPr>
          <w:rStyle w:val="CommentReference"/>
        </w:rPr>
        <w:annotationRef/>
      </w:r>
      <w:r>
        <w:t>Will add sup table/figure to show this</w:t>
      </w:r>
    </w:p>
  </w:comment>
  <w:comment w:id="2" w:author="Mo Liu" w:date="2025-07-11T14:31:00Z" w:initials="ML">
    <w:p w14:paraId="689F7605" w14:textId="4C3C451A" w:rsidR="005B5A38" w:rsidRDefault="005B5A38" w:rsidP="005B5A38">
      <w:pPr>
        <w:pStyle w:val="CommentText"/>
      </w:pPr>
      <w:r>
        <w:rPr>
          <w:rStyle w:val="CommentReference"/>
        </w:rPr>
        <w:annotationRef/>
      </w:r>
      <w:r>
        <w:t>Mo to work on this</w:t>
      </w:r>
    </w:p>
  </w:comment>
  <w:comment w:id="3"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4"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F564F9" w15:done="0"/>
  <w15:commentEx w15:paraId="689F7605"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636998" w16cex:dateUtc="2025-07-11T07:20:00Z"/>
  <w16cex:commentExtensible w16cex:durableId="60BEFC95" w16cex:dateUtc="2025-07-11T06:31: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F564F9" w16cid:durableId="31636998"/>
  <w16cid:commentId w16cid:paraId="689F7605" w16cid:durableId="60BEFC95"/>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9439C" w14:textId="77777777" w:rsidR="00764387" w:rsidRDefault="00764387" w:rsidP="000F4F7D">
      <w:pPr>
        <w:spacing w:after="0" w:line="240" w:lineRule="auto"/>
      </w:pPr>
      <w:r>
        <w:separator/>
      </w:r>
    </w:p>
  </w:endnote>
  <w:endnote w:type="continuationSeparator" w:id="0">
    <w:p w14:paraId="5040A0B9" w14:textId="77777777" w:rsidR="00764387" w:rsidRDefault="00764387" w:rsidP="000F4F7D">
      <w:pPr>
        <w:spacing w:after="0" w:line="240" w:lineRule="auto"/>
      </w:pPr>
      <w:r>
        <w:continuationSeparator/>
      </w:r>
    </w:p>
  </w:endnote>
  <w:endnote w:type="continuationNotice" w:id="1">
    <w:p w14:paraId="1733C844" w14:textId="77777777" w:rsidR="00764387" w:rsidRDefault="007643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1049E" w14:textId="77777777" w:rsidR="00764387" w:rsidRDefault="00764387" w:rsidP="000F4F7D">
      <w:pPr>
        <w:spacing w:after="0" w:line="240" w:lineRule="auto"/>
      </w:pPr>
      <w:r>
        <w:separator/>
      </w:r>
    </w:p>
  </w:footnote>
  <w:footnote w:type="continuationSeparator" w:id="0">
    <w:p w14:paraId="53AA2C21" w14:textId="77777777" w:rsidR="00764387" w:rsidRDefault="00764387" w:rsidP="000F4F7D">
      <w:pPr>
        <w:spacing w:after="0" w:line="240" w:lineRule="auto"/>
      </w:pPr>
      <w:r>
        <w:continuationSeparator/>
      </w:r>
    </w:p>
  </w:footnote>
  <w:footnote w:type="continuationNotice" w:id="1">
    <w:p w14:paraId="3E92A285" w14:textId="77777777" w:rsidR="00764387" w:rsidRDefault="007643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1FCF"/>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5A38"/>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0B7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5FD8"/>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D0634"/>
    <w:rsid w:val="003D7FAC"/>
    <w:rsid w:val="003E25B6"/>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33</Pages>
  <Words>31363</Words>
  <Characters>178770</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16</cp:revision>
  <cp:lastPrinted>2025-06-06T09:23:00Z</cp:lastPrinted>
  <dcterms:created xsi:type="dcterms:W3CDTF">2025-07-11T06:30:00Z</dcterms:created>
  <dcterms:modified xsi:type="dcterms:W3CDTF">2025-07-11T07:29:00Z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