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4AC6C221" w14:textId="138C5F15" w:rsidR="00797AF0" w:rsidRDefault="00185AE9" w:rsidP="008A1C58">
      <w:pPr>
        <w:spacing w:line="480" w:lineRule="auto"/>
        <w:rPr>
          <w:rFonts w:ascii="Times New Roman" w:hAnsi="Times New Roman" w:cs="Times New Roman" w:hint="eastAsia"/>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E937A9">
        <w:rPr>
          <w:rFonts w:ascii="Times New Roman" w:hAnsi="Times New Roman" w:cs="Times New Roman" w:hint="eastAsia"/>
          <w:sz w:val="24"/>
          <w:szCs w:val="24"/>
          <w:vertAlign w:val="superscript"/>
        </w:rPr>
        <w:t>3</w:t>
      </w:r>
      <w:r w:rsidR="00A279AA">
        <w:rPr>
          <w:rFonts w:ascii="Times New Roman" w:hAnsi="Times New Roman" w:cs="Times New Roman" w:hint="eastAsia"/>
          <w:sz w:val="24"/>
          <w:szCs w:val="24"/>
          <w:vertAlign w:val="superscript"/>
        </w:rPr>
        <w:t>,4</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E937A9">
        <w:rPr>
          <w:rFonts w:ascii="Times New Roman" w:hAnsi="Times New Roman" w:cs="Times New Roman" w:hint="eastAsia"/>
          <w:sz w:val="24"/>
          <w:szCs w:val="24"/>
          <w:vertAlign w:val="superscript"/>
        </w:rPr>
        <w:t>5</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E937A9">
        <w:rPr>
          <w:rFonts w:ascii="Times New Roman" w:hAnsi="Times New Roman" w:cs="Times New Roman" w:hint="eastAsia"/>
          <w:sz w:val="24"/>
          <w:szCs w:val="24"/>
          <w:vertAlign w:val="superscript"/>
        </w:rPr>
        <w:t>6</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E937A9">
        <w:rPr>
          <w:rFonts w:ascii="Times New Roman" w:hAnsi="Times New Roman" w:cs="Times New Roman" w:hint="eastAsia"/>
          <w:sz w:val="24"/>
          <w:szCs w:val="24"/>
          <w:vertAlign w:val="superscript"/>
        </w:rPr>
        <w:t>4</w:t>
      </w:r>
      <w:r w:rsidR="00511B52">
        <w:rPr>
          <w:rFonts w:ascii="Times New Roman" w:hAnsi="Times New Roman" w:cs="Times New Roman" w:hint="eastAsia"/>
          <w:sz w:val="24"/>
          <w:szCs w:val="24"/>
          <w:vertAlign w:val="superscript"/>
        </w:rPr>
        <w:t>#</w:t>
      </w:r>
    </w:p>
    <w:p w14:paraId="6064F1B9" w14:textId="0A70515D" w:rsidR="003A63AB" w:rsidRPr="006D1797" w:rsidRDefault="003A63AB" w:rsidP="008A1C58">
      <w:pPr>
        <w:spacing w:line="480" w:lineRule="auto"/>
        <w:rPr>
          <w:rFonts w:ascii="Times New Roman" w:hAnsi="Times New Roman" w:cs="Times New Roman"/>
        </w:rPr>
      </w:pPr>
      <w:r w:rsidRPr="006D1797">
        <w:rPr>
          <w:rFonts w:ascii="Times New Roman" w:hAnsi="Times New Roman" w:cs="Times New Roman"/>
        </w:rPr>
        <w:t xml:space="preserve"> </w:t>
      </w:r>
      <w:r w:rsidR="00511B52" w:rsidRPr="006D1797">
        <w:rPr>
          <w:rFonts w:ascii="Times New Roman" w:hAnsi="Times New Roman" w:cs="Times New Roman"/>
        </w:rPr>
        <w:t>Affiliation</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C5846E4" w14:textId="443ACAAF" w:rsidR="00704EE4" w:rsidRPr="006D1797" w:rsidRDefault="00E937A9" w:rsidP="008A1C58">
      <w:pPr>
        <w:spacing w:line="480" w:lineRule="auto"/>
        <w:rPr>
          <w:rFonts w:ascii="Times New Roman" w:hAnsi="Times New Roman" w:cs="Times New Roman"/>
        </w:rPr>
      </w:pPr>
      <w:r w:rsidRPr="006D1797">
        <w:rPr>
          <w:rFonts w:ascii="Times New Roman" w:hAnsi="Times New Roman" w:cs="Times New Roman"/>
        </w:rPr>
        <w:t xml:space="preserve">2 </w:t>
      </w:r>
      <w:r w:rsidR="00BD10FF" w:rsidRPr="006D1797">
        <w:rPr>
          <w:rFonts w:ascii="Times New Roman" w:hAnsi="Times New Roman" w:cs="Times New Roman"/>
        </w:rPr>
        <w:t>Department of Biostatistics and Bioinformatics, Duke University School of Medicine, Durham, North Carolina, 27710, United States</w:t>
      </w:r>
    </w:p>
    <w:p w14:paraId="5A7C5115" w14:textId="108073EB" w:rsidR="00E937A9" w:rsidRPr="006D1797" w:rsidRDefault="00704EE4" w:rsidP="008A1C58">
      <w:pPr>
        <w:spacing w:line="480" w:lineRule="auto"/>
        <w:rPr>
          <w:rFonts w:ascii="Times New Roman" w:hAnsi="Times New Roman" w:cs="Times New Roman"/>
        </w:rPr>
      </w:pPr>
      <w:r w:rsidRPr="006D1797">
        <w:rPr>
          <w:rFonts w:ascii="Times New Roman" w:hAnsi="Times New Roman" w:cs="Times New Roman"/>
        </w:rPr>
        <w:t xml:space="preserve">3 </w:t>
      </w:r>
      <w:r w:rsidRPr="006D1797">
        <w:rPr>
          <w:rFonts w:ascii="Times New Roman" w:hAnsi="Times New Roman" w:cs="Times New Roman"/>
        </w:rPr>
        <w:t xml:space="preserve">Centre for Computational Biology, Duke–NUS Medical School, 169857 </w:t>
      </w:r>
      <w:proofErr w:type="gramStart"/>
      <w:r w:rsidRPr="006D1797">
        <w:rPr>
          <w:rFonts w:ascii="Times New Roman" w:hAnsi="Times New Roman" w:cs="Times New Roman"/>
        </w:rPr>
        <w:t>Singapore;</w:t>
      </w:r>
      <w:proofErr w:type="gramEnd"/>
    </w:p>
    <w:p w14:paraId="2EF5E4CC" w14:textId="2DB7269E" w:rsidR="00704EE4" w:rsidRPr="006D1797" w:rsidRDefault="00704EE4" w:rsidP="008A1C58">
      <w:pPr>
        <w:spacing w:line="480" w:lineRule="auto"/>
        <w:rPr>
          <w:rFonts w:ascii="Times New Roman" w:hAnsi="Times New Roman" w:cs="Times New Roman"/>
        </w:rPr>
      </w:pPr>
      <w:r w:rsidRPr="006D1797">
        <w:rPr>
          <w:rFonts w:ascii="Times New Roman" w:hAnsi="Times New Roman" w:cs="Times New Roman"/>
        </w:rPr>
        <w:t>4</w:t>
      </w:r>
      <w:r w:rsidR="00A279AA" w:rsidRPr="006D1797">
        <w:rPr>
          <w:rFonts w:ascii="Times New Roman" w:hAnsi="Times New Roman" w:cs="Times New Roman"/>
        </w:rPr>
        <w:t xml:space="preserve"> </w:t>
      </w:r>
      <w:proofErr w:type="spellStart"/>
      <w:r w:rsidR="00A279AA" w:rsidRPr="006D1797">
        <w:rPr>
          <w:rFonts w:ascii="Times New Roman" w:hAnsi="Times New Roman" w:cs="Times New Roman"/>
        </w:rPr>
        <w:t>Programme</w:t>
      </w:r>
      <w:proofErr w:type="spellEnd"/>
      <w:r w:rsidR="00A279AA" w:rsidRPr="006D1797">
        <w:rPr>
          <w:rFonts w:ascii="Times New Roman" w:hAnsi="Times New Roman" w:cs="Times New Roman"/>
        </w:rPr>
        <w:t xml:space="preserve"> in Cancer and Stem Cell Biology, Duke University–National University of Singapore Medical School (Duke–NUS Medical School), 169857 </w:t>
      </w:r>
      <w:proofErr w:type="gramStart"/>
      <w:r w:rsidR="00A279AA" w:rsidRPr="006D1797">
        <w:rPr>
          <w:rFonts w:ascii="Times New Roman" w:hAnsi="Times New Roman" w:cs="Times New Roman"/>
        </w:rPr>
        <w:t>Singapore;</w:t>
      </w:r>
      <w:proofErr w:type="gramEnd"/>
      <w:r w:rsidR="00A279AA" w:rsidRPr="006D1797">
        <w:rPr>
          <w:rFonts w:ascii="Times New Roman" w:hAnsi="Times New Roman" w:cs="Times New Roman"/>
        </w:rPr>
        <w:t xml:space="preserve">  </w:t>
      </w:r>
    </w:p>
    <w:p w14:paraId="5FBB0CB0" w14:textId="2A65B953" w:rsidR="00A279AA" w:rsidRPr="006D1797" w:rsidRDefault="00A279AA" w:rsidP="008A1C58">
      <w:pPr>
        <w:spacing w:line="480" w:lineRule="auto"/>
        <w:rPr>
          <w:rFonts w:ascii="Times New Roman" w:hAnsi="Times New Roman" w:cs="Times New Roman" w:hint="eastAsia"/>
        </w:rPr>
      </w:pPr>
      <w:r w:rsidRPr="006D1797">
        <w:rPr>
          <w:rFonts w:ascii="Times New Roman" w:hAnsi="Times New Roman" w:cs="Times New Roman"/>
        </w:rPr>
        <w:t>5</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Yat-sen University, Sun Yat-sen University, Shenzhen, 518107, China.</w:t>
      </w:r>
    </w:p>
    <w:p w14:paraId="1CF7E708" w14:textId="53119482" w:rsidR="00A279AA" w:rsidRPr="006D1797" w:rsidRDefault="00A279AA" w:rsidP="008A1C58">
      <w:pPr>
        <w:spacing w:line="480" w:lineRule="auto"/>
        <w:rPr>
          <w:rFonts w:ascii="Times New Roman" w:hAnsi="Times New Roman" w:cs="Times New Roman" w:hint="eastAsia"/>
        </w:rPr>
      </w:pPr>
      <w:r w:rsidRPr="006D1797">
        <w:rPr>
          <w:rFonts w:ascii="Times New Roman" w:hAnsi="Times New Roman" w:cs="Times New Roman"/>
        </w:rPr>
        <w:t>6</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2DC4640D" w14:textId="035D4394" w:rsidR="00FE203D" w:rsidRPr="006D1797" w:rsidRDefault="00FE203D" w:rsidP="008A1C58">
      <w:pPr>
        <w:spacing w:line="480" w:lineRule="auto"/>
        <w:rPr>
          <w:rFonts w:ascii="Times New Roman" w:hAnsi="Times New Roman" w:cs="Times New Roman" w:hint="eastAsia"/>
        </w:rPr>
      </w:pPr>
      <w:r w:rsidRPr="006D1797">
        <w:rPr>
          <w:rFonts w:ascii="Times New Roman" w:hAnsi="Times New Roman" w:cs="Times New Roman"/>
        </w:rPr>
        <w:t xml:space="preserve"># </w:t>
      </w:r>
      <w:r w:rsidRPr="006D1797">
        <w:rPr>
          <w:rFonts w:ascii="Times New Roman" w:hAnsi="Times New Roman" w:cs="Times New Roman"/>
        </w:rPr>
        <w:t>Corresponding authors: E-mails:</w:t>
      </w:r>
      <w:r w:rsidRPr="006D1797">
        <w:rPr>
          <w:rFonts w:ascii="Times New Roman" w:hAnsi="Times New Roman" w:cs="Times New Roman"/>
        </w:rPr>
        <w:t xml:space="preserve"> </w:t>
      </w:r>
      <w:hyperlink r:id="rId10"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7067A536"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w:t>
      </w:r>
      <w:r w:rsidRPr="00065370">
        <w:rPr>
          <w:rFonts w:ascii="Times New Roman" w:hAnsi="Times New Roman" w:cs="Times New Roman"/>
          <w:sz w:val="24"/>
          <w:szCs w:val="24"/>
        </w:rPr>
        <w:lastRenderedPageBreak/>
        <w:t xml:space="preserve">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proofErr w:type="spellStart"/>
      <w:r w:rsidRPr="00065370">
        <w:rPr>
          <w:rFonts w:ascii="Times New Roman" w:hAnsi="Times New Roman" w:cs="Times New Roman"/>
          <w:sz w:val="24"/>
          <w:szCs w:val="24"/>
        </w:rPr>
        <w:t>dMMR</w:t>
      </w:r>
      <w:proofErr w:type="spellEnd"/>
      <w:r w:rsidRPr="00065370">
        <w:rPr>
          <w:rFonts w:ascii="Times New Roman" w:hAnsi="Times New Roman" w:cs="Times New Roman"/>
          <w:sz w:val="24"/>
          <w:szCs w:val="24"/>
        </w:rPr>
        <w:t xml:space="preserve"> (defective DNA mismatch repair) signatures—H_ID33, </w:t>
      </w:r>
      <w:r w:rsidR="00BC6FC4">
        <w:rPr>
          <w:rFonts w:ascii="Times New Roman" w:hAnsi="Times New Roman" w:cs="Times New Roman" w:hint="eastAsia"/>
          <w:sz w:val="24"/>
          <w:szCs w:val="24"/>
        </w:rPr>
        <w:t xml:space="preserve">H_ID34, </w:t>
      </w:r>
      <w:r w:rsidRPr="00065370">
        <w:rPr>
          <w:rFonts w:ascii="Times New Roman" w:hAnsi="Times New Roman" w:cs="Times New Roman"/>
          <w:sz w:val="24"/>
          <w:szCs w:val="24"/>
        </w:rPr>
        <w:t xml:space="preserve">H_ID37, and H_ID38—characterizing short deletions or insertions in repeat units within tumors exhibiting high mutation burdens.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associations. This comprehensive characterization of ID signatures from over 7,000 genomes enhances our understanding of the mutational processes shaping cancer genomes.</w:t>
      </w:r>
    </w:p>
    <w:p w14:paraId="13718EDF" w14:textId="77777777" w:rsidR="004D52B8" w:rsidRDefault="004D52B8" w:rsidP="008A1C58">
      <w:pPr>
        <w:spacing w:line="480" w:lineRule="auto"/>
        <w:rPr>
          <w:rFonts w:ascii="Times New Roman" w:hAnsi="Times New Roman" w:cs="Times New Roman"/>
          <w:sz w:val="24"/>
          <w:szCs w:val="24"/>
        </w:rPr>
      </w:pPr>
    </w:p>
    <w:p w14:paraId="62BCC9C4" w14:textId="77777777" w:rsidR="004D52B8" w:rsidRDefault="004D52B8" w:rsidP="008A1C58">
      <w:pPr>
        <w:spacing w:line="480" w:lineRule="auto"/>
        <w:rPr>
          <w:rFonts w:ascii="Times New Roman" w:hAnsi="Times New Roman" w:cs="Times New Roman"/>
          <w:sz w:val="24"/>
          <w:szCs w:val="24"/>
        </w:rPr>
      </w:pPr>
    </w:p>
    <w:p w14:paraId="1D62A7AF" w14:textId="77777777" w:rsidR="004D52B8" w:rsidRDefault="004D52B8" w:rsidP="008A1C58">
      <w:pPr>
        <w:spacing w:line="480" w:lineRule="auto"/>
        <w:rPr>
          <w:rFonts w:ascii="Times New Roman" w:hAnsi="Times New Roman" w:cs="Times New Roman"/>
          <w:sz w:val="24"/>
          <w:szCs w:val="24"/>
        </w:rPr>
      </w:pPr>
    </w:p>
    <w:p w14:paraId="444E4C49" w14:textId="77777777" w:rsidR="004D52B8" w:rsidRDefault="004D52B8" w:rsidP="008A1C58">
      <w:pPr>
        <w:spacing w:line="480" w:lineRule="auto"/>
        <w:rPr>
          <w:rFonts w:ascii="Times New Roman" w:hAnsi="Times New Roman" w:cs="Times New Roman"/>
          <w:sz w:val="24"/>
          <w:szCs w:val="24"/>
        </w:rPr>
      </w:pPr>
    </w:p>
    <w:p w14:paraId="1E7EA707" w14:textId="77777777" w:rsidR="004D52B8" w:rsidRDefault="004D52B8" w:rsidP="008A1C58">
      <w:pPr>
        <w:spacing w:line="480" w:lineRule="auto"/>
        <w:rPr>
          <w:rFonts w:ascii="Times New Roman" w:hAnsi="Times New Roman" w:cs="Times New Roman"/>
          <w:sz w:val="24"/>
          <w:szCs w:val="24"/>
        </w:rPr>
      </w:pPr>
    </w:p>
    <w:p w14:paraId="06D51EA5" w14:textId="77777777" w:rsidR="004D52B8" w:rsidRDefault="004D52B8" w:rsidP="008A1C58">
      <w:pPr>
        <w:spacing w:line="480" w:lineRule="auto"/>
        <w:rPr>
          <w:rFonts w:ascii="Times New Roman" w:hAnsi="Times New Roman" w:cs="Times New Roman"/>
          <w:sz w:val="24"/>
          <w:szCs w:val="24"/>
        </w:rPr>
      </w:pPr>
    </w:p>
    <w:p w14:paraId="1D4F76AF" w14:textId="77777777" w:rsidR="004D52B8" w:rsidRDefault="004D52B8" w:rsidP="008A1C58">
      <w:pPr>
        <w:spacing w:line="480" w:lineRule="auto"/>
        <w:rPr>
          <w:rFonts w:ascii="Times New Roman" w:hAnsi="Times New Roman" w:cs="Times New Roman" w:hint="eastAsia"/>
          <w:sz w:val="24"/>
          <w:szCs w:val="24"/>
        </w:rPr>
      </w:pP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7C20B365"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4AF9E604"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lastRenderedPageBreak/>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1"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1E6CE6A6"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and result</w:t>
      </w:r>
      <w:r w:rsidR="006C6D41">
        <w:rPr>
          <w:rFonts w:ascii="Times New Roman" w:hAnsi="Times New Roman" w:cs="Times New Roman" w:hint="eastAsia"/>
          <w:sz w:val="24"/>
          <w:szCs w:val="24"/>
        </w:rPr>
        <w:t>s</w:t>
      </w:r>
      <w:r w:rsidR="00AA2F80" w:rsidRPr="008A1C58">
        <w:rPr>
          <w:rFonts w:ascii="Times New Roman" w:hAnsi="Times New Roman" w:cs="Times New Roman"/>
          <w:sz w:val="24"/>
          <w:szCs w:val="24"/>
        </w:rPr>
        <w:t xml:space="preserve"> in 83 indel types (ID83). </w:t>
      </w:r>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signatures, including 15 novel signatures and several updated known signatures. We validated a novel ID mutational signature associated with TOP1-TAM (Topoisomerase 1-transcription-</w:t>
      </w:r>
      <w:r w:rsidRPr="00B517FD">
        <w:rPr>
          <w:rFonts w:ascii="Times New Roman" w:hAnsi="Times New Roman" w:cs="Times New Roman"/>
          <w:sz w:val="24"/>
          <w:szCs w:val="24"/>
        </w:rPr>
        <w:lastRenderedPageBreak/>
        <w:t xml:space="preserve">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Our analysis encompassed clinical characteristics, 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 xml:space="preserve">De </w:t>
      </w:r>
      <w:proofErr w:type="gramStart"/>
      <w:r w:rsidRPr="008A1C58">
        <w:rPr>
          <w:rFonts w:ascii="Times New Roman" w:hAnsi="Times New Roman" w:cs="Times New Roman"/>
          <w:b/>
          <w:bCs/>
          <w:i/>
          <w:iCs/>
          <w:sz w:val="24"/>
          <w:szCs w:val="24"/>
        </w:rPr>
        <w:t>novo</w:t>
      </w:r>
      <w:proofErr w:type="gramEnd"/>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4054EA6" w14:textId="59C6BE1E" w:rsidR="00543FB9" w:rsidRDefault="00D614D2" w:rsidP="008A1C58">
      <w:pPr>
        <w:spacing w:line="480" w:lineRule="auto"/>
        <w:rPr>
          <w:rFonts w:ascii="Times New Roman" w:hAnsi="Times New Roman" w:cs="Times New Roman"/>
          <w:sz w:val="24"/>
          <w:szCs w:val="24"/>
        </w:rPr>
      </w:pPr>
      <w:r w:rsidRPr="00D614D2">
        <w:rPr>
          <w:rFonts w:ascii="Times New Roman" w:hAnsi="Times New Roman" w:cs="Times New Roman"/>
          <w:sz w:val="24"/>
          <w:szCs w:val="24"/>
        </w:rPr>
        <w:t xml:space="preserve">We then consolidated highly similar signatures from all extractions and removed those that can be reconstructed by other signatures. Next, we compared our </w:t>
      </w:r>
      <w:proofErr w:type="spellStart"/>
      <w:r w:rsidRPr="00D614D2">
        <w:rPr>
          <w:rFonts w:ascii="Times New Roman" w:hAnsi="Times New Roman" w:cs="Times New Roman"/>
          <w:sz w:val="24"/>
          <w:szCs w:val="24"/>
        </w:rPr>
        <w:t>mSigHdp</w:t>
      </w:r>
      <w:proofErr w:type="spellEnd"/>
      <w:r w:rsidRPr="00D614D2">
        <w:rPr>
          <w:rFonts w:ascii="Times New Roman" w:hAnsi="Times New Roman" w:cs="Times New Roman"/>
          <w:sz w:val="24"/>
          <w:szCs w:val="24"/>
        </w:rPr>
        <w:t xml:space="preserve">-extracted signatures to </w:t>
      </w:r>
      <w:r w:rsidRPr="00D614D2">
        <w:rPr>
          <w:rFonts w:ascii="Times New Roman" w:hAnsi="Times New Roman" w:cs="Times New Roman"/>
          <w:sz w:val="24"/>
          <w:szCs w:val="24"/>
        </w:rPr>
        <w:lastRenderedPageBreak/>
        <w:t>those in COSMIC v3.4 and categorized them into three groups: (1) previously reported signatures (matching COSMIC v3.4 with cosine similarity &gt; 0.85), labeled "C_IDX" (Figure 1B, Figure S1); (2) merged signatures combining multiple COSMIC v3.4 signatures; and (3) novel signatures not fitting the previous categories, labeled "H_IDX" (Figure 1C). Notably, all signatures reported here are supported by at least one sample, ensuring their presence in our dataset</w:t>
      </w:r>
      <w:r w:rsidR="00543FB9">
        <w:rPr>
          <w:rFonts w:ascii="Times New Roman" w:hAnsi="Times New Roman" w:cs="Times New Roman" w:hint="eastAsia"/>
          <w:sz w:val="24"/>
          <w:szCs w:val="24"/>
        </w:rPr>
        <w:t xml:space="preserve"> (Figure S2)</w:t>
      </w:r>
      <w:r w:rsidRPr="00D614D2">
        <w:rPr>
          <w:rFonts w:ascii="Times New Roman" w:hAnsi="Times New Roman" w:cs="Times New Roman"/>
          <w:sz w:val="24"/>
          <w:szCs w:val="24"/>
        </w:rPr>
        <w:t>. Our analysis focuses on groups (1) and (3), omitting merged signatures as they are explicable by known signatures from (1). In total, we identified 33 distinct mutational signatures.</w:t>
      </w:r>
    </w:p>
    <w:p w14:paraId="5AF43DE1" w14:textId="70825BB6"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analysis.</w:t>
      </w:r>
    </w:p>
    <w:p w14:paraId="70E0A810" w14:textId="43F07541"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(1) In contrast to the C_ID9 identified in our extraction, the COSMIC ID9 signature exhibits a near-depletion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:5+ motif. This discrepancy may arise from the prevalence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 xml:space="preserve">:5+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commentRangeStart w:id="1"/>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w:t>
      </w:r>
      <w:r w:rsidR="00414F16" w:rsidRPr="00A70D28">
        <w:rPr>
          <w:rFonts w:ascii="Times New Roman" w:hAnsi="Times New Roman" w:cs="Times New Roman"/>
          <w:sz w:val="24"/>
          <w:szCs w:val="24"/>
        </w:rPr>
        <w:lastRenderedPageBreak/>
        <w:t xml:space="preserve">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commentRangeEnd w:id="1"/>
      <w:r w:rsidR="00414F16">
        <w:rPr>
          <w:rFonts w:ascii="Times New Roman" w:hAnsi="Times New Roman" w:cs="Times New Roman" w:hint="eastAsia"/>
          <w:sz w:val="24"/>
          <w:szCs w:val="24"/>
        </w:rPr>
        <w:t xml:space="preserve">. </w:t>
      </w:r>
      <w:r w:rsidR="00414F16">
        <w:rPr>
          <w:rStyle w:val="CommentReference"/>
        </w:rPr>
        <w:commentReference w:id="1"/>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to enhance the visibility of other peaks, resulting in ID81 </w:t>
      </w:r>
      <w:r w:rsidR="004235BD" w:rsidRPr="004235BD">
        <w:rPr>
          <w:rFonts w:ascii="Times New Roman" w:hAnsi="Times New Roman" w:cs="Times New Roman"/>
          <w:sz w:val="24"/>
          <w:szCs w:val="24"/>
        </w:rPr>
        <w:lastRenderedPageBreak/>
        <w:t xml:space="preserve">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:1:5+ and INS:T:1:5+.</w:t>
      </w:r>
      <w:r w:rsidR="004235BD">
        <w:rPr>
          <w:rFonts w:ascii="Times New Roman" w:hAnsi="Times New Roman" w:cs="Times New Roman" w:hint="eastAsia"/>
          <w:sz w:val="24"/>
          <w:szCs w:val="24"/>
        </w:rPr>
        <w:t xml:space="preserve"> </w:t>
      </w:r>
    </w:p>
    <w:p w14:paraId="6EBC889B" w14:textId="2EC3748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w:t>
      </w:r>
      <w:proofErr w:type="spellStart"/>
      <w:r w:rsidR="0058575D">
        <w:rPr>
          <w:rFonts w:ascii="Times New Roman" w:hAnsi="Times New Roman" w:cs="Times New Roman" w:hint="eastAsia"/>
          <w:sz w:val="24"/>
          <w:szCs w:val="24"/>
        </w:rPr>
        <w:t>dHR</w:t>
      </w:r>
      <w:proofErr w:type="spellEnd"/>
      <w:r w:rsidR="0058575D">
        <w:rPr>
          <w:rFonts w:ascii="Times New Roman" w:hAnsi="Times New Roman" w:cs="Times New Roman" w:hint="eastAsia"/>
          <w:sz w:val="24"/>
          <w:szCs w:val="24"/>
        </w:rPr>
        <w:t xml:space="preserve">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w:t>
      </w:r>
      <w:r w:rsidR="00E07F96" w:rsidRPr="00E07F96">
        <w:rPr>
          <w:rFonts w:ascii="Times New Roman" w:hAnsi="Times New Roman" w:cs="Times New Roman"/>
          <w:sz w:val="24"/>
          <w:szCs w:val="24"/>
        </w:rPr>
        <w:lastRenderedPageBreak/>
        <w:t xml:space="preserve">SBS93 (Figure 3D).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3E).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77777777"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906BF22" w14:textId="16E70330"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However, analysis of their extended sequence contexts revealed that H_ID24 preferentially deletes C from 5'TTTCX3', while C_ID9 favors deletion from 5'XCTTT3'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77D295D3"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w:t>
      </w:r>
      <w:r w:rsidRPr="00706990">
        <w:rPr>
          <w:rFonts w:ascii="Times New Roman" w:hAnsi="Times New Roman" w:cs="Times New Roman"/>
          <w:sz w:val="24"/>
          <w:szCs w:val="24"/>
        </w:rPr>
        <w:lastRenderedPageBreak/>
        <w:t xml:space="preserve">poly-G sequences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proofErr w:type="gramStart"/>
      <w:r>
        <w:rPr>
          <w:rFonts w:ascii="Times New Roman" w:hAnsi="Times New Roman" w:cs="Times New Roman" w:hint="eastAsia"/>
          <w:sz w:val="24"/>
          <w:szCs w:val="24"/>
        </w:rPr>
        <w:t>INS:T</w:t>
      </w:r>
      <w:proofErr w:type="gramEnd"/>
      <w:r>
        <w:rPr>
          <w:rFonts w:ascii="Times New Roman" w:hAnsi="Times New Roman" w:cs="Times New Roman" w:hint="eastAsia"/>
          <w:sz w:val="24"/>
          <w:szCs w:val="24"/>
        </w:rPr>
        <w: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0EBA2F25"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C, D). Although H_ID27 and H_ID28 both display 1 bp C insertions (INS:</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w:t>
      </w:r>
      <w:proofErr w:type="gramStart"/>
      <w:r w:rsidRPr="00706990">
        <w:rPr>
          <w:rFonts w:ascii="Times New Roman" w:hAnsi="Times New Roman" w:cs="Times New Roman"/>
          <w:sz w:val="24"/>
          <w:szCs w:val="24"/>
        </w:rPr>
        <w:t>tends</w:t>
      </w:r>
      <w:proofErr w:type="gramEnd"/>
      <w:r w:rsidRPr="00706990">
        <w:rPr>
          <w:rFonts w:ascii="Times New Roman" w:hAnsi="Times New Roman" w:cs="Times New Roman"/>
          <w:sz w:val="24"/>
          <w:szCs w:val="24"/>
        </w:rPr>
        <w:t xml:space="preserve"> to occur 3' of poly-G sequences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0F8EC281"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w:t>
      </w:r>
      <w:proofErr w:type="gramStart"/>
      <w:r w:rsidRPr="00442D83">
        <w:rPr>
          <w:rFonts w:ascii="Times New Roman" w:hAnsi="Times New Roman" w:cs="Times New Roman"/>
          <w:sz w:val="24"/>
          <w:szCs w:val="24"/>
        </w:rPr>
        <w:t>microsatellite</w:t>
      </w:r>
      <w:proofErr w:type="gramEnd"/>
      <w:r w:rsidRPr="00442D83">
        <w:rPr>
          <w:rFonts w:ascii="Times New Roman" w:hAnsi="Times New Roman" w:cs="Times New Roman"/>
          <w:sz w:val="24"/>
          <w:szCs w:val="24"/>
        </w:rPr>
        <w:t xml:space="preserv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w:t>
      </w:r>
      <w:r w:rsidRPr="00442D83">
        <w:rPr>
          <w:rFonts w:ascii="Times New Roman" w:hAnsi="Times New Roman" w:cs="Times New Roman"/>
          <w:sz w:val="24"/>
          <w:szCs w:val="24"/>
        </w:rPr>
        <w:lastRenderedPageBreak/>
        <w:t xml:space="preserve">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A). Notably, these MSI tumors typically exhibit a higher prevalence of deletions compared to insertions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By leveraging the higher prevalence of MSI tumors in the aggregated dataset, we identified four additional MSI-associated ID signatures beyond COSMIC ID7: H_ID33, H_ID34, H_ID37, and H_ID38 (Figure 4C).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4F9C9869"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w:t>
      </w:r>
      <w:r w:rsidR="009222E0">
        <w:rPr>
          <w:rFonts w:ascii="Times New Roman" w:hAnsi="Times New Roman" w:cs="Times New Roman" w:hint="eastAsia"/>
          <w:sz w:val="24"/>
          <w:szCs w:val="24"/>
        </w:rPr>
        <w:lastRenderedPageBreak/>
        <w:t xml:space="preserve">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C71BAF">
        <w:rPr>
          <w:rFonts w:ascii="Times New Roman" w:hAnsi="Times New Roman" w:cs="Times New Roman" w:hint="eastAsia"/>
          <w:sz w:val="24"/>
          <w:szCs w:val="24"/>
        </w:rPr>
        <w:t>5</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3A11A062"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2BDBCAB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C71BAF">
        <w:rPr>
          <w:rFonts w:ascii="Times New Roman" w:hAnsi="Times New Roman" w:cs="Times New Roman" w:hint="eastAsia"/>
          <w:sz w:val="24"/>
          <w:szCs w:val="24"/>
        </w:rPr>
        <w:t>5</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C71BAF">
        <w:rPr>
          <w:rFonts w:ascii="Times New Roman" w:hAnsi="Times New Roman" w:cs="Times New Roman" w:hint="eastAsia"/>
          <w:sz w:val="24"/>
          <w:szCs w:val="24"/>
        </w:rPr>
        <w:t>5</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6A82B379"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w:t>
      </w:r>
      <w:r w:rsidR="002A1DB9">
        <w:rPr>
          <w:rFonts w:ascii="Times New Roman" w:hAnsi="Times New Roman" w:cs="Times New Roman" w:hint="eastAsia"/>
          <w:sz w:val="24"/>
          <w:szCs w:val="24"/>
        </w:rPr>
        <w:t xml:space="preserve"> (Figure 5I)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lastRenderedPageBreak/>
        <w:t>A novel ID-</w:t>
      </w:r>
      <w:r w:rsidR="00962AC1">
        <w:rPr>
          <w:rFonts w:ascii="Times New Roman" w:hAnsi="Times New Roman" w:cs="Times New Roman" w:hint="eastAsia"/>
          <w:b/>
          <w:bCs/>
          <w:sz w:val="24"/>
          <w:szCs w:val="24"/>
        </w:rPr>
        <w:t>TOP1 signature</w:t>
      </w:r>
    </w:p>
    <w:p w14:paraId="28563E74" w14:textId="01E7DEAA"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276E5AD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217A45">
        <w:rPr>
          <w:rFonts w:ascii="Times New Roman" w:hAnsi="Times New Roman" w:cs="Times New Roman" w:hint="eastAsia"/>
          <w:sz w:val="24"/>
          <w:szCs w:val="24"/>
        </w:rPr>
        <w:t>6</w:t>
      </w:r>
      <w:r w:rsidR="001C490D">
        <w:rPr>
          <w:rFonts w:ascii="Times New Roman" w:hAnsi="Times New Roman" w:cs="Times New Roman" w:hint="eastAsia"/>
          <w:sz w:val="24"/>
          <w:szCs w:val="24"/>
        </w:rPr>
        <w:t>H).</w:t>
      </w:r>
    </w:p>
    <w:p w14:paraId="5A09CC0D" w14:textId="0232D276"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B-D). In contrast, </w:t>
      </w:r>
      <w:r w:rsidRPr="008954AD">
        <w:rPr>
          <w:rFonts w:ascii="Times New Roman" w:hAnsi="Times New Roman" w:cs="Times New Roman"/>
          <w:sz w:val="24"/>
          <w:szCs w:val="24"/>
        </w:rPr>
        <w:lastRenderedPageBreak/>
        <w:t xml:space="preserve">C_ID4 displays a more balanced preference for deleting CT and TT within tandem repeats, with a prevalent CTNTN motif found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08D4010C"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lastRenderedPageBreak/>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8A</w:t>
      </w:r>
      <w:r w:rsidRPr="00C46126">
        <w:rPr>
          <w:rFonts w:ascii="Times New Roman" w:hAnsi="Times New Roman" w:cs="Times New Roman"/>
          <w:sz w:val="24"/>
          <w:szCs w:val="24"/>
        </w:rPr>
        <w:t>).</w:t>
      </w:r>
    </w:p>
    <w:p w14:paraId="02233CD5" w14:textId="03492A79"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2" w:name="_Hlk190965870"/>
      <w:r w:rsidRPr="00C46126">
        <w:rPr>
          <w:rFonts w:ascii="Times New Roman" w:hAnsi="Times New Roman" w:cs="Times New Roman"/>
          <w:sz w:val="24"/>
          <w:szCs w:val="24"/>
        </w:rPr>
        <w:t>Fisher's exact tests</w:t>
      </w:r>
      <w:bookmarkEnd w:id="2"/>
      <w:r w:rsidRPr="00C46126">
        <w:rPr>
          <w:rFonts w:ascii="Times New Roman" w:hAnsi="Times New Roman" w:cs="Times New Roman"/>
          <w:sz w:val="24"/>
          <w:szCs w:val="24"/>
        </w:rPr>
        <w:t xml:space="preserve"> </w:t>
      </w:r>
      <w:bookmarkStart w:id="3" w:name="_Hlk190965885"/>
      <w:r w:rsidRPr="00C46126">
        <w:rPr>
          <w:rFonts w:ascii="Times New Roman" w:hAnsi="Times New Roman" w:cs="Times New Roman"/>
          <w:sz w:val="24"/>
          <w:szCs w:val="24"/>
        </w:rPr>
        <w:t>within each cancer type</w:t>
      </w:r>
      <w:bookmarkEnd w:id="3"/>
      <w:r w:rsidRPr="00C46126">
        <w:rPr>
          <w:rFonts w:ascii="Times New Roman" w:hAnsi="Times New Roman" w:cs="Times New Roman"/>
          <w:sz w:val="24"/>
          <w:szCs w:val="24"/>
        </w:rPr>
        <w:t>.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8</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w:t>
      </w:r>
      <w:proofErr w:type="gramStart"/>
      <w:r w:rsidR="0035297A" w:rsidRPr="008A1C58">
        <w:rPr>
          <w:rFonts w:ascii="Times New Roman" w:hAnsi="Times New Roman" w:cs="Times New Roman"/>
          <w:sz w:val="24"/>
          <w:szCs w:val="24"/>
        </w:rPr>
        <w:t>1:T</w:t>
      </w:r>
      <w:proofErr w:type="gramEnd"/>
      <w:r w:rsidR="0035297A" w:rsidRPr="008A1C58">
        <w:rPr>
          <w:rFonts w:ascii="Times New Roman" w:hAnsi="Times New Roman" w:cs="Times New Roman"/>
          <w:sz w:val="24"/>
          <w:szCs w:val="24"/>
        </w:rPr>
        <w:t xml:space="preserve">:5+ and INS:1:T:5+ from our analysis, as these indels are primarily contributed by C_ID1 and </w:t>
      </w:r>
      <w:r w:rsidR="0035297A" w:rsidRPr="008A1C58">
        <w:rPr>
          <w:rFonts w:ascii="Times New Roman" w:hAnsi="Times New Roman" w:cs="Times New Roman"/>
          <w:sz w:val="24"/>
          <w:szCs w:val="24"/>
        </w:rPr>
        <w:lastRenderedPageBreak/>
        <w:t>C_ID2, and single-</w:t>
      </w:r>
      <w:proofErr w:type="gramStart"/>
      <w:r w:rsidR="0035297A" w:rsidRPr="008A1C58">
        <w:rPr>
          <w:rFonts w:ascii="Times New Roman" w:hAnsi="Times New Roman" w:cs="Times New Roman"/>
          <w:sz w:val="24"/>
          <w:szCs w:val="24"/>
        </w:rPr>
        <w:t>base</w:t>
      </w:r>
      <w:proofErr w:type="gramEnd"/>
      <w:r w:rsidR="0035297A" w:rsidRPr="008A1C58">
        <w:rPr>
          <w:rFonts w:ascii="Times New Roman" w:hAnsi="Times New Roman" w:cs="Times New Roman"/>
          <w:sz w:val="24"/>
          <w:szCs w:val="24"/>
        </w:rPr>
        <w:t xml:space="preserv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6B57881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66631560"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lastRenderedPageBreak/>
        <w:t xml:space="preserve">We also conducted signature extraction using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reanalyze PCAWG indel genomes and discovered 25 indel mutational signatures, including 9 novel signatures. </w:t>
      </w:r>
      <w:r w:rsidRPr="009A6DA8">
        <w:rPr>
          <w:rFonts w:ascii="Times New Roman" w:hAnsi="Times New Roman" w:cs="Times New Roman"/>
          <w:sz w:val="24"/>
          <w:szCs w:val="24"/>
          <w:highlight w:val="yellow"/>
        </w:rPr>
        <w:t xml:space="preserve">Our analysis revealed that 3 of the 9 novel signatures identified by </w:t>
      </w:r>
      <w:proofErr w:type="spellStart"/>
      <w:r w:rsidRPr="009A6DA8">
        <w:rPr>
          <w:rFonts w:ascii="Times New Roman" w:hAnsi="Times New Roman" w:cs="Times New Roman"/>
          <w:sz w:val="24"/>
          <w:szCs w:val="24"/>
          <w:highlight w:val="yellow"/>
        </w:rPr>
        <w:t>MuSiCal</w:t>
      </w:r>
      <w:proofErr w:type="spellEnd"/>
      <w:r w:rsidRPr="009A6DA8">
        <w:rPr>
          <w:rFonts w:ascii="Times New Roman" w:hAnsi="Times New Roman" w:cs="Times New Roman"/>
          <w:sz w:val="24"/>
          <w:szCs w:val="24"/>
          <w:highlight w:val="yellow"/>
        </w:rPr>
        <w:t xml:space="preserve"> were also recapitulated in our findings</w:t>
      </w:r>
      <w:r w:rsidR="00E30140" w:rsidRPr="009A6DA8">
        <w:rPr>
          <w:rFonts w:ascii="Times New Roman" w:hAnsi="Times New Roman" w:cs="Times New Roman" w:hint="eastAsia"/>
          <w:sz w:val="24"/>
          <w:szCs w:val="24"/>
          <w:highlight w:val="yellow"/>
        </w:rPr>
        <w:t xml:space="preserve"> (Figure S</w:t>
      </w:r>
      <w:r w:rsidR="009A6DA8" w:rsidRPr="009A6DA8">
        <w:rPr>
          <w:rFonts w:ascii="Times New Roman" w:hAnsi="Times New Roman" w:cs="Times New Roman" w:hint="eastAsia"/>
          <w:sz w:val="24"/>
          <w:szCs w:val="24"/>
          <w:highlight w:val="yellow"/>
        </w:rPr>
        <w:t>9</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When we applied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we identified 30 mutational signatures across all genomes, with 24 included in the finalized collection (Table S4). This limitation of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xml:space="preserve"> is likely attributable to the challenges Non-negative Matrix Factorization faces in managing the high data sparsity associated with indels. Our study underscores the effectiveness of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for mining large datasets and demonstrates its capability to reveal novel signatures in highly sparse, low-count data.</w:t>
      </w:r>
    </w:p>
    <w:p w14:paraId="499335AA" w14:textId="0A01F87C"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proofErr w:type="gramStart"/>
      <w:r w:rsidR="00D84445" w:rsidRPr="008A1C58">
        <w:rPr>
          <w:rFonts w:ascii="Times New Roman" w:hAnsi="Times New Roman" w:cs="Times New Roman"/>
          <w:sz w:val="24"/>
          <w:szCs w:val="24"/>
        </w:rPr>
        <w:t>were</w:t>
      </w:r>
      <w:proofErr w:type="gramEnd"/>
      <w:r w:rsidR="00D84445" w:rsidRPr="008A1C58">
        <w:rPr>
          <w:rFonts w:ascii="Times New Roman" w:hAnsi="Times New Roman" w:cs="Times New Roman"/>
          <w:sz w:val="24"/>
          <w:szCs w:val="24"/>
        </w:rPr>
        <w:t xml:space="preserv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4"/>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4"/>
      <w:proofErr w:type="spellEnd"/>
      <w:r w:rsidR="00706990">
        <w:rPr>
          <w:rStyle w:val="CommentReference"/>
        </w:rPr>
        <w:commentReference w:id="4"/>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proofErr w:type="gramStart"/>
      <w:r w:rsidR="002F33E9" w:rsidRPr="008A1C58">
        <w:rPr>
          <w:rFonts w:ascii="Times New Roman" w:hAnsi="Times New Roman" w:cs="Times New Roman"/>
          <w:sz w:val="24"/>
          <w:szCs w:val="24"/>
        </w:rPr>
        <w:t>These</w:t>
      </w:r>
      <w:proofErr w:type="gramEnd"/>
      <w:r w:rsidR="002F33E9" w:rsidRPr="008A1C58">
        <w:rPr>
          <w:rFonts w:ascii="Times New Roman" w:hAnsi="Times New Roman" w:cs="Times New Roman"/>
          <w:sz w:val="24"/>
          <w:szCs w:val="24"/>
        </w:rPr>
        <w:t xml:space="preserv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In both scenario, we used the following parameters</w:t>
      </w:r>
      <w:proofErr w:type="gramStart"/>
      <w:r w:rsidR="000E0C06" w:rsidRPr="008A1C58">
        <w:rPr>
          <w:rFonts w:ascii="Times New Roman" w:hAnsi="Times New Roman" w:cs="Times New Roman"/>
          <w:sz w:val="24"/>
          <w:szCs w:val="24"/>
        </w:rPr>
        <w:t xml:space="preserve">: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proofErr w:type="gram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w:t>
      </w:r>
      <w:r w:rsidRPr="008A1C58">
        <w:rPr>
          <w:rFonts w:ascii="Times New Roman" w:hAnsi="Times New Roman" w:cs="Times New Roman"/>
          <w:sz w:val="24"/>
          <w:szCs w:val="24"/>
        </w:rPr>
        <w:lastRenderedPageBreak/>
        <w:t>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5" w:name="_Hlk191059301"/>
      <w:r w:rsidRPr="00D343FD">
        <w:rPr>
          <w:rFonts w:ascii="Times New Roman" w:hAnsi="Times New Roman" w:cs="Times New Roman"/>
          <w:sz w:val="24"/>
          <w:szCs w:val="24"/>
        </w:rPr>
        <w:t>RNASEH2b</w:t>
      </w:r>
      <w:bookmarkEnd w:id="5"/>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w:t>
      </w:r>
      <w:r w:rsidRPr="00D343FD">
        <w:rPr>
          <w:rFonts w:ascii="Times New Roman" w:hAnsi="Times New Roman" w:cs="Times New Roman"/>
          <w:sz w:val="24"/>
          <w:szCs w:val="24"/>
        </w:rPr>
        <w:lastRenderedPageBreak/>
        <w:t>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t>
      </w:r>
      <w:proofErr w:type="gramStart"/>
      <w:r w:rsidRPr="00D343FD">
        <w:rPr>
          <w:rFonts w:ascii="Times New Roman" w:hAnsi="Times New Roman" w:cs="Times New Roman"/>
          <w:sz w:val="24"/>
          <w:szCs w:val="24"/>
        </w:rPr>
        <w:t>was continued</w:t>
      </w:r>
      <w:proofErr w:type="gramEnd"/>
      <w:r w:rsidRPr="00D343FD">
        <w:rPr>
          <w:rFonts w:ascii="Times New Roman" w:hAnsi="Times New Roman" w:cs="Times New Roman"/>
          <w:sz w:val="24"/>
          <w:szCs w:val="24"/>
        </w:rPr>
        <w:t xml:space="preserve">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w:t>
      </w:r>
      <w:proofErr w:type="gramStart"/>
      <w:r w:rsidRPr="00D343FD">
        <w:rPr>
          <w:rFonts w:ascii="Times New Roman" w:hAnsi="Times New Roman" w:cs="Times New Roman"/>
          <w:sz w:val="24"/>
          <w:szCs w:val="24"/>
        </w:rPr>
        <w:t>rest half</w:t>
      </w:r>
      <w:proofErr w:type="gramEnd"/>
      <w:r w:rsidRPr="00D343FD">
        <w:rPr>
          <w:rFonts w:ascii="Times New Roman" w:hAnsi="Times New Roman" w:cs="Times New Roman"/>
          <w:sz w:val="24"/>
          <w:szCs w:val="24"/>
        </w:rPr>
        <w:t xml:space="preserve"> of cells was added to 10μl of Direct-Lyse lysis buffer (10mM Tris pH 8.0, 2.5mM EDTA, 0.2M NaCl, 0.15% SDS, 0.3% Tween-20) in PCR tube. The cells were then subjected to </w:t>
      </w:r>
      <w:r w:rsidRPr="00D343FD">
        <w:rPr>
          <w:rFonts w:ascii="Times New Roman" w:hAnsi="Times New Roman" w:cs="Times New Roman"/>
          <w:sz w:val="24"/>
          <w:szCs w:val="24"/>
        </w:rPr>
        <w:lastRenderedPageBreak/>
        <w:t xml:space="preserve">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t>
      </w:r>
      <w:proofErr w:type="gramStart"/>
      <w:r w:rsidRPr="00D343FD">
        <w:rPr>
          <w:rFonts w:ascii="Times New Roman" w:hAnsi="Times New Roman" w:cs="Times New Roman"/>
          <w:sz w:val="24"/>
          <w:szCs w:val="24"/>
        </w:rPr>
        <w:t>was</w:t>
      </w:r>
      <w:proofErr w:type="gramEnd"/>
      <w:r w:rsidRPr="00D343FD">
        <w:rPr>
          <w:rFonts w:ascii="Times New Roman" w:hAnsi="Times New Roman" w:cs="Times New Roman"/>
          <w:sz w:val="24"/>
          <w:szCs w:val="24"/>
        </w:rPr>
        <w:t xml:space="preserve">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8"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w:t>
      </w:r>
      <w:r w:rsidR="00514C81">
        <w:rPr>
          <w:rFonts w:ascii="Times New Roman" w:hAnsi="Times New Roman" w:cs="Times New Roman" w:hint="eastAsia"/>
          <w:color w:val="000000"/>
          <w:sz w:val="24"/>
          <w:szCs w:val="24"/>
        </w:rPr>
        <w:lastRenderedPageBreak/>
        <w:t xml:space="preserve">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2E5F7565" w14:textId="03BEE8FA"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w:t>
      </w:r>
      <w:r w:rsidRPr="0052001A">
        <w:rPr>
          <w:rFonts w:ascii="Times New Roman" w:hAnsi="Times New Roman" w:cs="Times New Roman"/>
          <w:sz w:val="24"/>
        </w:rPr>
        <w:lastRenderedPageBreak/>
        <w:t xml:space="preserve">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w:t>
      </w:r>
      <w:r w:rsidRPr="0052001A">
        <w:rPr>
          <w:rFonts w:ascii="Times New Roman" w:hAnsi="Times New Roman" w:cs="Times New Roman"/>
          <w:sz w:val="24"/>
        </w:rPr>
        <w:lastRenderedPageBreak/>
        <w:t xml:space="preserve">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0CE1027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9"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xml:space="preserve">, S., </w:t>
      </w:r>
      <w:proofErr w:type="spellStart"/>
      <w:r w:rsidRPr="001F5B14">
        <w:rPr>
          <w:rFonts w:ascii="Times New Roman" w:hAnsi="Times New Roman" w:cs="Times New Roman"/>
          <w:sz w:val="24"/>
          <w:szCs w:val="24"/>
        </w:rPr>
        <w:t>Gootenberg</w:t>
      </w:r>
      <w:proofErr w:type="spellEnd"/>
      <w:r w:rsidRPr="001F5B14">
        <w:rPr>
          <w:rFonts w:ascii="Times New Roman" w:hAnsi="Times New Roman" w:cs="Times New Roman"/>
          <w:sz w:val="24"/>
          <w:szCs w:val="24"/>
        </w:rPr>
        <w:t>,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o Liu" w:date="2024-10-08T17:13:00Z" w:initials="ML">
    <w:p w14:paraId="7192F1DD" w14:textId="77777777" w:rsidR="00414F16" w:rsidRDefault="00414F16" w:rsidP="00414F16">
      <w:pPr>
        <w:pStyle w:val="CommentText"/>
      </w:pPr>
      <w:r>
        <w:rPr>
          <w:rStyle w:val="CommentReference"/>
        </w:rPr>
        <w:annotationRef/>
      </w:r>
      <w:r>
        <w:t>Top5samples, ID5: average ratio 100%, n=703;ID8:94.32%,n=1917</w:t>
      </w:r>
    </w:p>
  </w:comment>
  <w:comment w:id="4" w:author="Mo Liu" w:date="2024-10-04T09:10:00Z" w:initials="ML">
    <w:p w14:paraId="540BB308" w14:textId="0922C373"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92F1DD"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6A61CC" w16cex:dateUtc="2024-10-08T09:13: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92F1DD" w16cid:durableId="036A61CC"/>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9AA0B" w14:textId="77777777" w:rsidR="0039644F" w:rsidRDefault="0039644F" w:rsidP="000F4F7D">
      <w:pPr>
        <w:spacing w:after="0" w:line="240" w:lineRule="auto"/>
      </w:pPr>
      <w:r>
        <w:separator/>
      </w:r>
    </w:p>
  </w:endnote>
  <w:endnote w:type="continuationSeparator" w:id="0">
    <w:p w14:paraId="5458790F" w14:textId="77777777" w:rsidR="0039644F" w:rsidRDefault="0039644F" w:rsidP="000F4F7D">
      <w:pPr>
        <w:spacing w:after="0" w:line="240" w:lineRule="auto"/>
      </w:pPr>
      <w:r>
        <w:continuationSeparator/>
      </w:r>
    </w:p>
  </w:endnote>
  <w:endnote w:type="continuationNotice" w:id="1">
    <w:p w14:paraId="7F4F7BF7" w14:textId="77777777" w:rsidR="0039644F" w:rsidRDefault="003964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AE735" w14:textId="77777777" w:rsidR="0039644F" w:rsidRDefault="0039644F" w:rsidP="000F4F7D">
      <w:pPr>
        <w:spacing w:after="0" w:line="240" w:lineRule="auto"/>
      </w:pPr>
      <w:r>
        <w:separator/>
      </w:r>
    </w:p>
  </w:footnote>
  <w:footnote w:type="continuationSeparator" w:id="0">
    <w:p w14:paraId="1885303A" w14:textId="77777777" w:rsidR="0039644F" w:rsidRDefault="0039644F" w:rsidP="000F4F7D">
      <w:pPr>
        <w:spacing w:after="0" w:line="240" w:lineRule="auto"/>
      </w:pPr>
      <w:r>
        <w:continuationSeparator/>
      </w:r>
    </w:p>
  </w:footnote>
  <w:footnote w:type="continuationNotice" w:id="1">
    <w:p w14:paraId="042F0B9F" w14:textId="77777777" w:rsidR="0039644F" w:rsidRDefault="0039644F">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338F"/>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3892"/>
    <w:rsid w:val="00044368"/>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86154"/>
    <w:rsid w:val="00091477"/>
    <w:rsid w:val="00091D7E"/>
    <w:rsid w:val="00094E81"/>
    <w:rsid w:val="000952C3"/>
    <w:rsid w:val="00095A21"/>
    <w:rsid w:val="000969B0"/>
    <w:rsid w:val="000971A2"/>
    <w:rsid w:val="00097319"/>
    <w:rsid w:val="00097621"/>
    <w:rsid w:val="0009775B"/>
    <w:rsid w:val="00097928"/>
    <w:rsid w:val="000A0AD0"/>
    <w:rsid w:val="000A1891"/>
    <w:rsid w:val="000A1C46"/>
    <w:rsid w:val="000A229C"/>
    <w:rsid w:val="000A4005"/>
    <w:rsid w:val="000A6499"/>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32AA"/>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B51"/>
    <w:rsid w:val="00103A9D"/>
    <w:rsid w:val="00104076"/>
    <w:rsid w:val="00107097"/>
    <w:rsid w:val="001120AB"/>
    <w:rsid w:val="00114E7D"/>
    <w:rsid w:val="00115714"/>
    <w:rsid w:val="00116151"/>
    <w:rsid w:val="0012014E"/>
    <w:rsid w:val="00121618"/>
    <w:rsid w:val="00122E43"/>
    <w:rsid w:val="0012530B"/>
    <w:rsid w:val="00125A23"/>
    <w:rsid w:val="00130492"/>
    <w:rsid w:val="0013091E"/>
    <w:rsid w:val="0013144B"/>
    <w:rsid w:val="0013232C"/>
    <w:rsid w:val="00132D3A"/>
    <w:rsid w:val="00134D06"/>
    <w:rsid w:val="0013544A"/>
    <w:rsid w:val="0013744E"/>
    <w:rsid w:val="00140D13"/>
    <w:rsid w:val="00141969"/>
    <w:rsid w:val="00150675"/>
    <w:rsid w:val="001525E7"/>
    <w:rsid w:val="00153162"/>
    <w:rsid w:val="001536B3"/>
    <w:rsid w:val="001549D2"/>
    <w:rsid w:val="00154AD2"/>
    <w:rsid w:val="00160177"/>
    <w:rsid w:val="00162BA6"/>
    <w:rsid w:val="00167489"/>
    <w:rsid w:val="001719D1"/>
    <w:rsid w:val="0017529F"/>
    <w:rsid w:val="001759C0"/>
    <w:rsid w:val="0018380F"/>
    <w:rsid w:val="00184CEA"/>
    <w:rsid w:val="001857D3"/>
    <w:rsid w:val="00185AE9"/>
    <w:rsid w:val="0018652B"/>
    <w:rsid w:val="001865DC"/>
    <w:rsid w:val="00187F59"/>
    <w:rsid w:val="00190CFD"/>
    <w:rsid w:val="0019173B"/>
    <w:rsid w:val="001925AB"/>
    <w:rsid w:val="001947A6"/>
    <w:rsid w:val="001A044C"/>
    <w:rsid w:val="001A206F"/>
    <w:rsid w:val="001A4027"/>
    <w:rsid w:val="001A6C46"/>
    <w:rsid w:val="001B063A"/>
    <w:rsid w:val="001B222F"/>
    <w:rsid w:val="001B264C"/>
    <w:rsid w:val="001B7BC8"/>
    <w:rsid w:val="001C05A7"/>
    <w:rsid w:val="001C1806"/>
    <w:rsid w:val="001C3296"/>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2308"/>
    <w:rsid w:val="00290D76"/>
    <w:rsid w:val="00291BE7"/>
    <w:rsid w:val="0029228C"/>
    <w:rsid w:val="00294EEB"/>
    <w:rsid w:val="00296211"/>
    <w:rsid w:val="002A0658"/>
    <w:rsid w:val="002A186B"/>
    <w:rsid w:val="002A1AF8"/>
    <w:rsid w:val="002A1B16"/>
    <w:rsid w:val="002A1DB9"/>
    <w:rsid w:val="002A43D2"/>
    <w:rsid w:val="002A4C30"/>
    <w:rsid w:val="002B251F"/>
    <w:rsid w:val="002B2EAD"/>
    <w:rsid w:val="002B316E"/>
    <w:rsid w:val="002B3495"/>
    <w:rsid w:val="002B3883"/>
    <w:rsid w:val="002B3E0F"/>
    <w:rsid w:val="002B4637"/>
    <w:rsid w:val="002B6B38"/>
    <w:rsid w:val="002C0462"/>
    <w:rsid w:val="002C1237"/>
    <w:rsid w:val="002C172C"/>
    <w:rsid w:val="002C1EC4"/>
    <w:rsid w:val="002C2C52"/>
    <w:rsid w:val="002C2F7E"/>
    <w:rsid w:val="002C3E48"/>
    <w:rsid w:val="002C632E"/>
    <w:rsid w:val="002C6478"/>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11A57"/>
    <w:rsid w:val="00323E61"/>
    <w:rsid w:val="00326D63"/>
    <w:rsid w:val="00327535"/>
    <w:rsid w:val="00327E5C"/>
    <w:rsid w:val="00330C8B"/>
    <w:rsid w:val="0033122A"/>
    <w:rsid w:val="00332310"/>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F1F"/>
    <w:rsid w:val="00372C91"/>
    <w:rsid w:val="00372F43"/>
    <w:rsid w:val="00374059"/>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A0056"/>
    <w:rsid w:val="003A0CD0"/>
    <w:rsid w:val="003A1297"/>
    <w:rsid w:val="003A4923"/>
    <w:rsid w:val="003A5193"/>
    <w:rsid w:val="003A61FD"/>
    <w:rsid w:val="003A63AB"/>
    <w:rsid w:val="003A651F"/>
    <w:rsid w:val="003A729B"/>
    <w:rsid w:val="003B0160"/>
    <w:rsid w:val="003B302B"/>
    <w:rsid w:val="003B6E15"/>
    <w:rsid w:val="003C040C"/>
    <w:rsid w:val="003C3043"/>
    <w:rsid w:val="003C3474"/>
    <w:rsid w:val="003C494E"/>
    <w:rsid w:val="003C49C1"/>
    <w:rsid w:val="003C718A"/>
    <w:rsid w:val="003D0B91"/>
    <w:rsid w:val="003D57E6"/>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2E3E"/>
    <w:rsid w:val="0041495F"/>
    <w:rsid w:val="00414F16"/>
    <w:rsid w:val="00416273"/>
    <w:rsid w:val="0041649A"/>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A4DDF"/>
    <w:rsid w:val="004B3F96"/>
    <w:rsid w:val="004B427B"/>
    <w:rsid w:val="004B501A"/>
    <w:rsid w:val="004B7A88"/>
    <w:rsid w:val="004C0A1F"/>
    <w:rsid w:val="004C3196"/>
    <w:rsid w:val="004C3B20"/>
    <w:rsid w:val="004C4F25"/>
    <w:rsid w:val="004C5649"/>
    <w:rsid w:val="004C5DA1"/>
    <w:rsid w:val="004C6265"/>
    <w:rsid w:val="004C7A6D"/>
    <w:rsid w:val="004D05F2"/>
    <w:rsid w:val="004D21FB"/>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C81"/>
    <w:rsid w:val="00514D30"/>
    <w:rsid w:val="00515809"/>
    <w:rsid w:val="00516765"/>
    <w:rsid w:val="0052001A"/>
    <w:rsid w:val="0052219A"/>
    <w:rsid w:val="00522368"/>
    <w:rsid w:val="00523CE5"/>
    <w:rsid w:val="005247A5"/>
    <w:rsid w:val="0052480E"/>
    <w:rsid w:val="00525B0A"/>
    <w:rsid w:val="0053080C"/>
    <w:rsid w:val="0053122A"/>
    <w:rsid w:val="005316B6"/>
    <w:rsid w:val="005317D3"/>
    <w:rsid w:val="005323DB"/>
    <w:rsid w:val="005323E6"/>
    <w:rsid w:val="005338C3"/>
    <w:rsid w:val="00534134"/>
    <w:rsid w:val="00534A39"/>
    <w:rsid w:val="00534DF7"/>
    <w:rsid w:val="00534E54"/>
    <w:rsid w:val="00537E66"/>
    <w:rsid w:val="00537FB7"/>
    <w:rsid w:val="00540405"/>
    <w:rsid w:val="00540B2D"/>
    <w:rsid w:val="00543518"/>
    <w:rsid w:val="00543FB9"/>
    <w:rsid w:val="00553262"/>
    <w:rsid w:val="0055585E"/>
    <w:rsid w:val="00555E0E"/>
    <w:rsid w:val="00557621"/>
    <w:rsid w:val="00557CCD"/>
    <w:rsid w:val="00560EA2"/>
    <w:rsid w:val="00562BFD"/>
    <w:rsid w:val="00565208"/>
    <w:rsid w:val="00572A06"/>
    <w:rsid w:val="00574DF5"/>
    <w:rsid w:val="0057559A"/>
    <w:rsid w:val="00575FF1"/>
    <w:rsid w:val="00577359"/>
    <w:rsid w:val="00577994"/>
    <w:rsid w:val="0058096D"/>
    <w:rsid w:val="00583E82"/>
    <w:rsid w:val="005842C3"/>
    <w:rsid w:val="005850CF"/>
    <w:rsid w:val="0058575D"/>
    <w:rsid w:val="005857CC"/>
    <w:rsid w:val="00587F85"/>
    <w:rsid w:val="005909CA"/>
    <w:rsid w:val="00590BD8"/>
    <w:rsid w:val="005910E2"/>
    <w:rsid w:val="0059237E"/>
    <w:rsid w:val="00592F6E"/>
    <w:rsid w:val="00594AAB"/>
    <w:rsid w:val="00594ABF"/>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4A4"/>
    <w:rsid w:val="005E7727"/>
    <w:rsid w:val="005E7FF3"/>
    <w:rsid w:val="005F02FE"/>
    <w:rsid w:val="005F0FC8"/>
    <w:rsid w:val="005F1E2B"/>
    <w:rsid w:val="005F265D"/>
    <w:rsid w:val="005F315C"/>
    <w:rsid w:val="005F51F6"/>
    <w:rsid w:val="005F5F3C"/>
    <w:rsid w:val="005F6211"/>
    <w:rsid w:val="005F67C3"/>
    <w:rsid w:val="00600779"/>
    <w:rsid w:val="00600C72"/>
    <w:rsid w:val="00601E1F"/>
    <w:rsid w:val="00602F3F"/>
    <w:rsid w:val="00605380"/>
    <w:rsid w:val="006054D9"/>
    <w:rsid w:val="00606002"/>
    <w:rsid w:val="00607DEC"/>
    <w:rsid w:val="00610D52"/>
    <w:rsid w:val="0061101D"/>
    <w:rsid w:val="00611BCE"/>
    <w:rsid w:val="00612121"/>
    <w:rsid w:val="006157F1"/>
    <w:rsid w:val="00617C21"/>
    <w:rsid w:val="0062168B"/>
    <w:rsid w:val="006223A3"/>
    <w:rsid w:val="00622E23"/>
    <w:rsid w:val="0062433D"/>
    <w:rsid w:val="0062458E"/>
    <w:rsid w:val="00624C8F"/>
    <w:rsid w:val="006260E1"/>
    <w:rsid w:val="00626337"/>
    <w:rsid w:val="00626C2F"/>
    <w:rsid w:val="0063016B"/>
    <w:rsid w:val="00630A6E"/>
    <w:rsid w:val="00633E33"/>
    <w:rsid w:val="006370FF"/>
    <w:rsid w:val="00637B91"/>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5AFC"/>
    <w:rsid w:val="00666BB4"/>
    <w:rsid w:val="00667C7D"/>
    <w:rsid w:val="00671CA4"/>
    <w:rsid w:val="00675F67"/>
    <w:rsid w:val="0068387D"/>
    <w:rsid w:val="006851F6"/>
    <w:rsid w:val="00685BE1"/>
    <w:rsid w:val="00685EBC"/>
    <w:rsid w:val="00686442"/>
    <w:rsid w:val="006873CC"/>
    <w:rsid w:val="006909AF"/>
    <w:rsid w:val="00691157"/>
    <w:rsid w:val="0069230A"/>
    <w:rsid w:val="00693238"/>
    <w:rsid w:val="0069385B"/>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1797"/>
    <w:rsid w:val="006D5308"/>
    <w:rsid w:val="006D730A"/>
    <w:rsid w:val="006E0FCA"/>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4EE4"/>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0774"/>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7124"/>
    <w:rsid w:val="007B7811"/>
    <w:rsid w:val="007C07ED"/>
    <w:rsid w:val="007C36B0"/>
    <w:rsid w:val="007C5737"/>
    <w:rsid w:val="007C582C"/>
    <w:rsid w:val="007C610B"/>
    <w:rsid w:val="007C64A6"/>
    <w:rsid w:val="007C7D7C"/>
    <w:rsid w:val="007D00E5"/>
    <w:rsid w:val="007D01F6"/>
    <w:rsid w:val="007D1DF9"/>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AD6"/>
    <w:rsid w:val="0080251A"/>
    <w:rsid w:val="00806D6B"/>
    <w:rsid w:val="00807699"/>
    <w:rsid w:val="0081120F"/>
    <w:rsid w:val="00814652"/>
    <w:rsid w:val="00815BDD"/>
    <w:rsid w:val="008162CB"/>
    <w:rsid w:val="008163E3"/>
    <w:rsid w:val="00817D33"/>
    <w:rsid w:val="00817D86"/>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77DC"/>
    <w:rsid w:val="008739E1"/>
    <w:rsid w:val="00873B08"/>
    <w:rsid w:val="00874913"/>
    <w:rsid w:val="0087568C"/>
    <w:rsid w:val="00876A76"/>
    <w:rsid w:val="0088031C"/>
    <w:rsid w:val="00881426"/>
    <w:rsid w:val="00881A08"/>
    <w:rsid w:val="00885FAE"/>
    <w:rsid w:val="00886667"/>
    <w:rsid w:val="00886F5F"/>
    <w:rsid w:val="00887307"/>
    <w:rsid w:val="00891073"/>
    <w:rsid w:val="00891183"/>
    <w:rsid w:val="00892860"/>
    <w:rsid w:val="008934D7"/>
    <w:rsid w:val="008954AD"/>
    <w:rsid w:val="00895B01"/>
    <w:rsid w:val="00897BF7"/>
    <w:rsid w:val="008A0303"/>
    <w:rsid w:val="008A1C58"/>
    <w:rsid w:val="008A315B"/>
    <w:rsid w:val="008A3737"/>
    <w:rsid w:val="008A3CB4"/>
    <w:rsid w:val="008A4F00"/>
    <w:rsid w:val="008A66EA"/>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5364"/>
    <w:rsid w:val="00915D73"/>
    <w:rsid w:val="00917973"/>
    <w:rsid w:val="00921449"/>
    <w:rsid w:val="00922126"/>
    <w:rsid w:val="009222E0"/>
    <w:rsid w:val="009232EF"/>
    <w:rsid w:val="0092418F"/>
    <w:rsid w:val="009244F1"/>
    <w:rsid w:val="00925DC8"/>
    <w:rsid w:val="0092728E"/>
    <w:rsid w:val="009305D4"/>
    <w:rsid w:val="00930A57"/>
    <w:rsid w:val="009313DF"/>
    <w:rsid w:val="00932AA9"/>
    <w:rsid w:val="00933978"/>
    <w:rsid w:val="009345A7"/>
    <w:rsid w:val="00935984"/>
    <w:rsid w:val="00935D7D"/>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2E29"/>
    <w:rsid w:val="00976F8E"/>
    <w:rsid w:val="00980B6E"/>
    <w:rsid w:val="00985F40"/>
    <w:rsid w:val="00986D12"/>
    <w:rsid w:val="00987993"/>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4C83"/>
    <w:rsid w:val="009C6EB6"/>
    <w:rsid w:val="009C7C4A"/>
    <w:rsid w:val="009D0CC0"/>
    <w:rsid w:val="009D4C65"/>
    <w:rsid w:val="009D7809"/>
    <w:rsid w:val="009E173C"/>
    <w:rsid w:val="009E2DF8"/>
    <w:rsid w:val="009E4988"/>
    <w:rsid w:val="009E4D47"/>
    <w:rsid w:val="009E63AC"/>
    <w:rsid w:val="009F344B"/>
    <w:rsid w:val="009F352B"/>
    <w:rsid w:val="009F35C3"/>
    <w:rsid w:val="009F3FD7"/>
    <w:rsid w:val="009F4924"/>
    <w:rsid w:val="009F4BF0"/>
    <w:rsid w:val="009F6032"/>
    <w:rsid w:val="009F7D90"/>
    <w:rsid w:val="00A0126B"/>
    <w:rsid w:val="00A0315B"/>
    <w:rsid w:val="00A03A6E"/>
    <w:rsid w:val="00A04D39"/>
    <w:rsid w:val="00A064CF"/>
    <w:rsid w:val="00A06E62"/>
    <w:rsid w:val="00A074FF"/>
    <w:rsid w:val="00A1143B"/>
    <w:rsid w:val="00A15879"/>
    <w:rsid w:val="00A16F79"/>
    <w:rsid w:val="00A2004A"/>
    <w:rsid w:val="00A201FF"/>
    <w:rsid w:val="00A21576"/>
    <w:rsid w:val="00A247A8"/>
    <w:rsid w:val="00A27788"/>
    <w:rsid w:val="00A279AA"/>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A7983"/>
    <w:rsid w:val="00AB0AFD"/>
    <w:rsid w:val="00AB3F42"/>
    <w:rsid w:val="00AB5B7B"/>
    <w:rsid w:val="00AC171F"/>
    <w:rsid w:val="00AC1C37"/>
    <w:rsid w:val="00AD0491"/>
    <w:rsid w:val="00AD099E"/>
    <w:rsid w:val="00AD2040"/>
    <w:rsid w:val="00AD4907"/>
    <w:rsid w:val="00AD6FA9"/>
    <w:rsid w:val="00AE00AE"/>
    <w:rsid w:val="00AE030D"/>
    <w:rsid w:val="00AE108D"/>
    <w:rsid w:val="00AE14E5"/>
    <w:rsid w:val="00AE1ADE"/>
    <w:rsid w:val="00AE7306"/>
    <w:rsid w:val="00AF1C30"/>
    <w:rsid w:val="00AF3ADC"/>
    <w:rsid w:val="00AF41FC"/>
    <w:rsid w:val="00AF79AE"/>
    <w:rsid w:val="00B01736"/>
    <w:rsid w:val="00B02197"/>
    <w:rsid w:val="00B07E3E"/>
    <w:rsid w:val="00B102CF"/>
    <w:rsid w:val="00B10819"/>
    <w:rsid w:val="00B11B51"/>
    <w:rsid w:val="00B11E71"/>
    <w:rsid w:val="00B16573"/>
    <w:rsid w:val="00B16F28"/>
    <w:rsid w:val="00B24520"/>
    <w:rsid w:val="00B245FF"/>
    <w:rsid w:val="00B2541C"/>
    <w:rsid w:val="00B261AC"/>
    <w:rsid w:val="00B27272"/>
    <w:rsid w:val="00B34F53"/>
    <w:rsid w:val="00B352F4"/>
    <w:rsid w:val="00B36E9B"/>
    <w:rsid w:val="00B377EE"/>
    <w:rsid w:val="00B41109"/>
    <w:rsid w:val="00B4288D"/>
    <w:rsid w:val="00B42C16"/>
    <w:rsid w:val="00B42C86"/>
    <w:rsid w:val="00B4427E"/>
    <w:rsid w:val="00B45B15"/>
    <w:rsid w:val="00B45C33"/>
    <w:rsid w:val="00B46116"/>
    <w:rsid w:val="00B46C34"/>
    <w:rsid w:val="00B517FD"/>
    <w:rsid w:val="00B53792"/>
    <w:rsid w:val="00B5500F"/>
    <w:rsid w:val="00B55A80"/>
    <w:rsid w:val="00B55D83"/>
    <w:rsid w:val="00B563BB"/>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865E1"/>
    <w:rsid w:val="00B9319C"/>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BED"/>
    <w:rsid w:val="00C17CB5"/>
    <w:rsid w:val="00C220B8"/>
    <w:rsid w:val="00C22602"/>
    <w:rsid w:val="00C244CE"/>
    <w:rsid w:val="00C24BAD"/>
    <w:rsid w:val="00C266DF"/>
    <w:rsid w:val="00C274DB"/>
    <w:rsid w:val="00C3422A"/>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F7"/>
    <w:rsid w:val="00C62DF4"/>
    <w:rsid w:val="00C63FC1"/>
    <w:rsid w:val="00C647A5"/>
    <w:rsid w:val="00C65BE7"/>
    <w:rsid w:val="00C71BAF"/>
    <w:rsid w:val="00C72379"/>
    <w:rsid w:val="00C72E5D"/>
    <w:rsid w:val="00C7371D"/>
    <w:rsid w:val="00C76367"/>
    <w:rsid w:val="00C76AB8"/>
    <w:rsid w:val="00C83163"/>
    <w:rsid w:val="00C9051E"/>
    <w:rsid w:val="00C91439"/>
    <w:rsid w:val="00C91CC9"/>
    <w:rsid w:val="00C91FF2"/>
    <w:rsid w:val="00C947A9"/>
    <w:rsid w:val="00C95039"/>
    <w:rsid w:val="00CA277F"/>
    <w:rsid w:val="00CA370A"/>
    <w:rsid w:val="00CA4AC1"/>
    <w:rsid w:val="00CA4B11"/>
    <w:rsid w:val="00CB10DA"/>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0B90"/>
    <w:rsid w:val="00CE263B"/>
    <w:rsid w:val="00CE35BA"/>
    <w:rsid w:val="00CE48FE"/>
    <w:rsid w:val="00CF34CE"/>
    <w:rsid w:val="00CF3C1B"/>
    <w:rsid w:val="00CF5916"/>
    <w:rsid w:val="00CF768D"/>
    <w:rsid w:val="00CF78D9"/>
    <w:rsid w:val="00D00F5B"/>
    <w:rsid w:val="00D015C0"/>
    <w:rsid w:val="00D028F8"/>
    <w:rsid w:val="00D05B8F"/>
    <w:rsid w:val="00D05EB1"/>
    <w:rsid w:val="00D06EF4"/>
    <w:rsid w:val="00D13DD1"/>
    <w:rsid w:val="00D1586B"/>
    <w:rsid w:val="00D15E4C"/>
    <w:rsid w:val="00D160E2"/>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6707"/>
    <w:rsid w:val="00D374CC"/>
    <w:rsid w:val="00D37FA5"/>
    <w:rsid w:val="00D410A9"/>
    <w:rsid w:val="00D41DC7"/>
    <w:rsid w:val="00D43A34"/>
    <w:rsid w:val="00D43D34"/>
    <w:rsid w:val="00D43E0C"/>
    <w:rsid w:val="00D43E6E"/>
    <w:rsid w:val="00D45C89"/>
    <w:rsid w:val="00D45EF9"/>
    <w:rsid w:val="00D46B9F"/>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9D"/>
    <w:rsid w:val="00D943E7"/>
    <w:rsid w:val="00D96AAF"/>
    <w:rsid w:val="00D97034"/>
    <w:rsid w:val="00D97C6D"/>
    <w:rsid w:val="00DA00EF"/>
    <w:rsid w:val="00DA36F9"/>
    <w:rsid w:val="00DA6155"/>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181C"/>
    <w:rsid w:val="00DD19D2"/>
    <w:rsid w:val="00DD1F4B"/>
    <w:rsid w:val="00DD72A9"/>
    <w:rsid w:val="00DD740B"/>
    <w:rsid w:val="00DD7F84"/>
    <w:rsid w:val="00DE0DD0"/>
    <w:rsid w:val="00DE1F6B"/>
    <w:rsid w:val="00DE2296"/>
    <w:rsid w:val="00DE25E8"/>
    <w:rsid w:val="00DE3A7A"/>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140"/>
    <w:rsid w:val="00E3093B"/>
    <w:rsid w:val="00E31453"/>
    <w:rsid w:val="00E374C4"/>
    <w:rsid w:val="00E40E7F"/>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DFC"/>
    <w:rsid w:val="00E870C5"/>
    <w:rsid w:val="00E937A9"/>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86B"/>
    <w:rsid w:val="00ED6F06"/>
    <w:rsid w:val="00ED7D4C"/>
    <w:rsid w:val="00EE4725"/>
    <w:rsid w:val="00EE61E6"/>
    <w:rsid w:val="00EE666E"/>
    <w:rsid w:val="00EE7C61"/>
    <w:rsid w:val="00EF04C1"/>
    <w:rsid w:val="00EF0682"/>
    <w:rsid w:val="00EF324E"/>
    <w:rsid w:val="00EF5504"/>
    <w:rsid w:val="00EF6F4B"/>
    <w:rsid w:val="00F01A08"/>
    <w:rsid w:val="00F01F8B"/>
    <w:rsid w:val="00F03195"/>
    <w:rsid w:val="00F03F2D"/>
    <w:rsid w:val="00F07FFC"/>
    <w:rsid w:val="00F10FBF"/>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4040"/>
    <w:rsid w:val="00F44D71"/>
    <w:rsid w:val="00F50E0F"/>
    <w:rsid w:val="00F55B97"/>
    <w:rsid w:val="00F65EFB"/>
    <w:rsid w:val="00F66FE8"/>
    <w:rsid w:val="00F67022"/>
    <w:rsid w:val="00F75559"/>
    <w:rsid w:val="00F75DE6"/>
    <w:rsid w:val="00F76750"/>
    <w:rsid w:val="00F777BC"/>
    <w:rsid w:val="00F77BE2"/>
    <w:rsid w:val="00F844B2"/>
    <w:rsid w:val="00F84751"/>
    <w:rsid w:val="00F87437"/>
    <w:rsid w:val="00F91421"/>
    <w:rsid w:val="00F9335E"/>
    <w:rsid w:val="00F9457E"/>
    <w:rsid w:val="00F9475B"/>
    <w:rsid w:val="00F94ADD"/>
    <w:rsid w:val="00F960E4"/>
    <w:rsid w:val="00F9714B"/>
    <w:rsid w:val="00FA1427"/>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D0176"/>
    <w:rsid w:val="00FD0342"/>
    <w:rsid w:val="00FD0427"/>
    <w:rsid w:val="00FD5F11"/>
    <w:rsid w:val="00FD7BFB"/>
    <w:rsid w:val="00FD7D07"/>
    <w:rsid w:val="00FE19AA"/>
    <w:rsid w:val="00FE203D"/>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hyperlink" Target="https://www.synapse.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cancer.sanger.ac.uk/cosmic/census?tier=1" TargetMode="Externa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ncer.sanger.ac.uk/signatures/" TargetMode="External"/><Relationship Id="rId24" Type="http://schemas.openxmlformats.org/officeDocument/2006/relationships/theme" Target="theme/theme1.xml"/><Relationship Id="rId5"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glossaryDocument" Target="glossary/document.xml"/><Relationship Id="rId10" Type="http://schemas.openxmlformats.org/officeDocument/2006/relationships/hyperlink" Target="mailto:mo.liu@gzhmu.edu.cn" TargetMode="External"/><Relationship Id="rId19" Type="http://schemas.openxmlformats.org/officeDocument/2006/relationships/hyperlink" Target="https://doi.org/10.1038/srep15587"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6/09/relationships/commentsIds" Target="commentsIds.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046B90"/>
    <w:rsid w:val="000D4079"/>
    <w:rsid w:val="001239F1"/>
    <w:rsid w:val="00175A6B"/>
    <w:rsid w:val="001925AB"/>
    <w:rsid w:val="001B7519"/>
    <w:rsid w:val="001F555B"/>
    <w:rsid w:val="0025125E"/>
    <w:rsid w:val="00263BF2"/>
    <w:rsid w:val="003020F3"/>
    <w:rsid w:val="00341629"/>
    <w:rsid w:val="00357EC0"/>
    <w:rsid w:val="00361F99"/>
    <w:rsid w:val="00363FD3"/>
    <w:rsid w:val="00384AA4"/>
    <w:rsid w:val="003D7FAC"/>
    <w:rsid w:val="003E3342"/>
    <w:rsid w:val="003F2736"/>
    <w:rsid w:val="004C58E8"/>
    <w:rsid w:val="004C7A6D"/>
    <w:rsid w:val="004F6966"/>
    <w:rsid w:val="005317D3"/>
    <w:rsid w:val="00534DF7"/>
    <w:rsid w:val="00546612"/>
    <w:rsid w:val="00557CCD"/>
    <w:rsid w:val="005B1ECB"/>
    <w:rsid w:val="005E4330"/>
    <w:rsid w:val="00600C72"/>
    <w:rsid w:val="00626337"/>
    <w:rsid w:val="006448A7"/>
    <w:rsid w:val="00697A27"/>
    <w:rsid w:val="006B19E8"/>
    <w:rsid w:val="006E0F37"/>
    <w:rsid w:val="006E4FAA"/>
    <w:rsid w:val="006E67E3"/>
    <w:rsid w:val="007131D0"/>
    <w:rsid w:val="007134EB"/>
    <w:rsid w:val="007211AB"/>
    <w:rsid w:val="00736A43"/>
    <w:rsid w:val="00766357"/>
    <w:rsid w:val="007728FE"/>
    <w:rsid w:val="00822DF7"/>
    <w:rsid w:val="008629B8"/>
    <w:rsid w:val="008731E2"/>
    <w:rsid w:val="008D2C2E"/>
    <w:rsid w:val="008F3341"/>
    <w:rsid w:val="00903844"/>
    <w:rsid w:val="0092418F"/>
    <w:rsid w:val="00A97ED7"/>
    <w:rsid w:val="00AF79AE"/>
    <w:rsid w:val="00B23970"/>
    <w:rsid w:val="00B4288D"/>
    <w:rsid w:val="00BE4664"/>
    <w:rsid w:val="00C5376A"/>
    <w:rsid w:val="00CA370A"/>
    <w:rsid w:val="00CA4B11"/>
    <w:rsid w:val="00CD1803"/>
    <w:rsid w:val="00D160E2"/>
    <w:rsid w:val="00D84AC5"/>
    <w:rsid w:val="00D9293B"/>
    <w:rsid w:val="00DF0780"/>
    <w:rsid w:val="00E1001D"/>
    <w:rsid w:val="00E22559"/>
    <w:rsid w:val="00E74567"/>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25</Pages>
  <Words>17824</Words>
  <Characters>101602</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17</cp:revision>
  <dcterms:created xsi:type="dcterms:W3CDTF">2025-02-24T02:20:00Z</dcterms:created>
  <dcterms:modified xsi:type="dcterms:W3CDTF">2025-02-24T07:23:00Z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