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p>
    <w:p>
      <w:pPr>
        <w:pStyle w:val="Normal"/>
        <w:rPr/>
      </w:pPr>
      <w:r>
        <w:rPr/>
      </w:r>
    </w:p>
    <w:p>
      <w:pPr>
        <w:pStyle w:val="Normal"/>
        <w:rPr>
          <w:sz w:val="20"/>
          <w:szCs w:val="20"/>
        </w:rPr>
      </w:pPr>
      <w:r>
        <w:rPr>
          <w:sz w:val="20"/>
          <w:szCs w:val="20"/>
        </w:rPr>
        <w:t xml:space="preserve">Notes: </w:t>
      </w:r>
      <w:r>
        <w:rPr>
          <w:sz w:val="20"/>
          <w:szCs w:val="20"/>
        </w:rPr>
        <w:t xml:space="preserve">7 display items </w:t>
      </w:r>
      <w:r>
        <w:rPr>
          <w:sz w:val="20"/>
          <w:szCs w:val="20"/>
        </w:rPr>
        <w:t>allowed</w:t>
      </w:r>
    </w:p>
    <w:p>
      <w:pPr>
        <w:pStyle w:val="BodyText"/>
        <w:rPr/>
      </w:pPr>
      <w:r>
        <w:rPr>
          <w:rStyle w:val="Strong"/>
          <w:rFonts w:ascii="Google Sans;Roboto;Arial;sans-serif" w:hAnsi="Google Sans;Roboto;Arial;sans-serif"/>
          <w:b/>
          <w:strike w:val="false"/>
          <w:dstrike w:val="false"/>
          <w:sz w:val="20"/>
          <w:szCs w:val="20"/>
          <w:u w:val="none"/>
          <w:effect w:val="none"/>
        </w:rPr>
        <w:t>Word Count</w:t>
      </w:r>
      <w:r>
        <w:rPr>
          <w:rFonts w:ascii="Google Sans;Roboto;Arial;sans-serif" w:hAnsi="Google Sans;Roboto;Arial;sans-serif"/>
          <w:b w:val="false"/>
          <w:strike w:val="false"/>
          <w:dstrike w:val="false"/>
          <w:sz w:val="20"/>
          <w:szCs w:val="20"/>
          <w:u w:val="none"/>
          <w:effect w:val="none"/>
        </w:rPr>
        <w:t xml:space="preserve">: The main text should be under </w:t>
      </w:r>
      <w:r>
        <w:rPr>
          <w:rStyle w:val="Strong"/>
          <w:rFonts w:ascii="Google Sans;Roboto;Arial;sans-serif" w:hAnsi="Google Sans;Roboto;Arial;sans-serif"/>
          <w:b/>
          <w:strike w:val="false"/>
          <w:dstrike w:val="false"/>
          <w:sz w:val="20"/>
          <w:szCs w:val="20"/>
          <w:u w:val="none"/>
          <w:effect w:val="none"/>
        </w:rPr>
        <w:t>7,000 words</w:t>
      </w:r>
      <w:r>
        <w:rPr>
          <w:rFonts w:ascii="Google Sans;Roboto;Arial;sans-serif" w:hAnsi="Google Sans;Roboto;Arial;sans-serif"/>
          <w:b w:val="false"/>
          <w:strike w:val="false"/>
          <w:dstrike w:val="false"/>
          <w:sz w:val="20"/>
          <w:szCs w:val="20"/>
          <w:u w:val="none"/>
          <w:effect w:val="none"/>
        </w:rPr>
        <w:t>. This count includes the figure legends but excludes the STAR Methods, supplemental legends, and references.</w:t>
      </w:r>
    </w:p>
    <w:p>
      <w:pPr>
        <w:pStyle w:val="BodyText"/>
        <w:numPr>
          <w:ilvl w:val="0"/>
          <w:numId w:val="3"/>
        </w:numPr>
        <w:pBdr/>
        <w:tabs>
          <w:tab w:val="clear" w:pos="720"/>
          <w:tab w:val="left" w:pos="0" w:leader="none"/>
        </w:tabs>
        <w:spacing w:lineRule="auto" w:line="480" w:before="0" w:after="0"/>
        <w:ind w:hanging="283" w:start="720" w:end="0"/>
        <w:rPr/>
      </w:pPr>
      <w:r>
        <w:rPr>
          <w:rStyle w:val="Strong"/>
          <w:rFonts w:ascii="Google Sans;Roboto;Arial;sans-serif" w:hAnsi="Google Sans;Roboto;Arial;sans-serif"/>
          <w:b/>
          <w:strike w:val="false"/>
          <w:dstrike w:val="false"/>
          <w:sz w:val="20"/>
          <w:szCs w:val="20"/>
          <w:u w:val="none"/>
          <w:effect w:val="none"/>
        </w:rPr>
        <w:t>Supplemental Items</w:t>
      </w:r>
      <w:r>
        <w:rPr>
          <w:rFonts w:ascii="Google Sans;Roboto;Arial;sans-serif" w:hAnsi="Google Sans;Roboto;Arial;sans-serif"/>
          <w:b w:val="false"/>
          <w:strike w:val="false"/>
          <w:dstrike w:val="false"/>
          <w:sz w:val="20"/>
          <w:szCs w:val="20"/>
          <w:u w:val="none"/>
          <w:effect w:val="none"/>
        </w:rPr>
        <w:t xml:space="preserve">: You may include additional display items as supplemental information at the editor's discretion. For </w:t>
      </w:r>
      <w:r>
        <w:rPr>
          <w:rStyle w:val="Emphasis"/>
          <w:rFonts w:ascii="Google Sans;Roboto;Arial;sans-serif" w:hAnsi="Google Sans;Roboto;Arial;sans-serif"/>
          <w:b w:val="false"/>
          <w:strike w:val="false"/>
          <w:dstrike w:val="false"/>
          <w:sz w:val="20"/>
          <w:szCs w:val="20"/>
          <w:u w:val="none"/>
          <w:effect w:val="none"/>
        </w:rPr>
        <w:t>Cell</w:t>
      </w:r>
      <w:r>
        <w:rPr>
          <w:rFonts w:ascii="Google Sans;Roboto;Arial;sans-serif" w:hAnsi="Google Sans;Roboto;Arial;sans-serif"/>
          <w:b w:val="false"/>
          <w:strike w:val="false"/>
          <w:dstrike w:val="false"/>
          <w:sz w:val="20"/>
          <w:szCs w:val="20"/>
          <w:u w:val="none"/>
          <w:effect w:val="none"/>
        </w:rPr>
        <w:t xml:space="preserve"> Research Articles, this is often up to 7 supplemental figures.</w:t>
      </w:r>
    </w:p>
    <w:p>
      <w:pPr>
        <w:pStyle w:val="BodyText"/>
        <w:numPr>
          <w:ilvl w:val="0"/>
          <w:numId w:val="4"/>
        </w:numPr>
        <w:pBdr/>
        <w:tabs>
          <w:tab w:val="clear" w:pos="720"/>
          <w:tab w:val="left" w:pos="0" w:leader="none"/>
        </w:tabs>
        <w:spacing w:lineRule="auto" w:line="480" w:before="0" w:after="0"/>
        <w:ind w:hanging="283" w:start="720" w:end="0"/>
        <w:rPr/>
      </w:pPr>
      <w:r>
        <w:rPr>
          <w:rStyle w:val="Strong"/>
          <w:rFonts w:ascii="Google Sans;Roboto;Arial;sans-serif" w:hAnsi="Google Sans;Roboto;Arial;sans-serif"/>
          <w:b/>
          <w:strike w:val="false"/>
          <w:dstrike w:val="false"/>
          <w:sz w:val="20"/>
          <w:szCs w:val="20"/>
          <w:u w:val="none"/>
          <w:effect w:val="none"/>
        </w:rPr>
        <w:t>Mandatory Items</w:t>
      </w:r>
      <w:r>
        <w:rPr>
          <w:rFonts w:ascii="Google Sans;Roboto;Arial;sans-serif" w:hAnsi="Google Sans;Roboto;Arial;sans-serif"/>
          <w:b w:val="false"/>
          <w:strike w:val="false"/>
          <w:dstrike w:val="false"/>
          <w:sz w:val="20"/>
          <w:szCs w:val="20"/>
          <w:u w:val="none"/>
          <w:effect w:val="none"/>
        </w:rPr>
        <w:t xml:space="preserve">: You must also include a </w:t>
      </w:r>
      <w:hyperlink r:id="rId3" w:tgtFrame="_blank">
        <w:r>
          <w:rPr>
            <w:rStyle w:val="Hyperlink"/>
            <w:rFonts w:ascii="Google Sans;Roboto;Arial;sans-serif" w:hAnsi="Google Sans;Roboto;Arial;sans-serif"/>
            <w:b/>
            <w:strike w:val="false"/>
            <w:dstrike w:val="false"/>
            <w:sz w:val="20"/>
            <w:szCs w:val="20"/>
            <w:u w:val="single"/>
            <w:effect w:val="none"/>
          </w:rPr>
          <w:t>Graphical Abstract</w:t>
        </w:r>
      </w:hyperlink>
      <w:r>
        <w:rPr>
          <w:rFonts w:ascii="Google Sans;Roboto;Arial;sans-serif" w:hAnsi="Google Sans;Roboto;Arial;sans-serif"/>
          <w:b w:val="false"/>
          <w:strike w:val="false"/>
          <w:dstrike w:val="false"/>
          <w:sz w:val="20"/>
          <w:szCs w:val="20"/>
          <w:u w:val="none"/>
          <w:effect w:val="none"/>
        </w:rPr>
        <w:t xml:space="preserve"> (exactly 1,200 x 1,200 pixels) and 3–4 Highlights (each 85 characters or fewer).</w:t>
      </w:r>
      <w:r>
        <w:rPr>
          <w:rFonts w:ascii="Google Sans;Roboto;Arial;sans-serif" w:hAnsi="Google Sans;Roboto;Arial;sans-serif"/>
          <w:b w:val="false"/>
          <w:strike w:val="false"/>
          <w:dstrike w:val="false"/>
          <w:sz w:val="20"/>
          <w:szCs w:val="20"/>
          <w:u w:val="none"/>
          <w:effect w:val="none"/>
        </w:rPr>
        <w:t xml:space="preserve"> [</w:t>
      </w:r>
      <w:hyperlink r:id="rId4">
        <w:r>
          <w:rPr>
            <w:rStyle w:val="Hyperlink"/>
            <w:rFonts w:ascii="Google Sans;Roboto;Arial;sans-serif" w:hAnsi="Google Sans;Roboto;Arial;sans-serif"/>
            <w:b w:val="false"/>
            <w:strike w:val="false"/>
            <w:dstrike w:val="false"/>
            <w:sz w:val="20"/>
            <w:szCs w:val="20"/>
            <w:u w:val="none"/>
            <w:effect w:val="none"/>
          </w:rPr>
          <w:t>1</w:t>
        </w:r>
      </w:hyperlink>
      <w:r>
        <w:rPr>
          <w:rFonts w:ascii="Google Sans;Roboto;Arial;sans-serif" w:hAnsi="Google Sans;Roboto;Arial;sans-serif"/>
          <w:b w:val="false"/>
          <w:strike w:val="false"/>
          <w:dstrike w:val="false"/>
          <w:sz w:val="20"/>
          <w:szCs w:val="20"/>
          <w:u w:val="none"/>
          <w:effect w:val="none"/>
        </w:rPr>
        <w:t xml:space="preserve">, </w:t>
      </w:r>
      <w:hyperlink r:id="rId5">
        <w:r>
          <w:rPr>
            <w:rStyle w:val="Hyperlink"/>
            <w:rFonts w:ascii="Google Sans;Roboto;Arial;sans-serif" w:hAnsi="Google Sans;Roboto;Arial;sans-serif"/>
            <w:b w:val="false"/>
            <w:strike w:val="false"/>
            <w:dstrike w:val="false"/>
            <w:sz w:val="20"/>
            <w:szCs w:val="20"/>
            <w:u w:val="none"/>
            <w:effect w:val="none"/>
          </w:rPr>
          <w:t>2</w:t>
        </w:r>
      </w:hyperlink>
      <w:r>
        <w:rPr>
          <w:rFonts w:ascii="Google Sans;Roboto;Arial;sans-serif" w:hAnsi="Google Sans;Roboto;Arial;sans-serif"/>
          <w:b w:val="false"/>
          <w:strike w:val="false"/>
          <w:dstrike w:val="false"/>
          <w:sz w:val="20"/>
          <w:szCs w:val="20"/>
          <w:u w:val="none"/>
          <w:effect w:val="none"/>
        </w:rPr>
        <w:t xml:space="preserve">, </w:t>
      </w:r>
      <w:hyperlink r:id="rId6">
        <w:r>
          <w:rPr>
            <w:rStyle w:val="Hyperlink"/>
            <w:rFonts w:ascii="Google Sans;Roboto;Arial;sans-serif" w:hAnsi="Google Sans;Roboto;Arial;sans-serif"/>
            <w:b w:val="false"/>
            <w:strike w:val="false"/>
            <w:dstrike w:val="false"/>
            <w:sz w:val="20"/>
            <w:szCs w:val="20"/>
            <w:u w:val="none"/>
            <w:effect w:val="none"/>
          </w:rPr>
          <w:t>3</w:t>
        </w:r>
      </w:hyperlink>
      <w:r>
        <w:rPr>
          <w:rFonts w:ascii="Google Sans;Roboto;Arial;sans-serif" w:hAnsi="Google Sans;Roboto;Arial;sans-serif"/>
          <w:b w:val="false"/>
          <w:strike w:val="false"/>
          <w:dstrike w:val="false"/>
          <w:sz w:val="20"/>
          <w:szCs w:val="20"/>
          <w:u w:val="none"/>
          <w:effect w:val="none"/>
        </w:rPr>
        <w:t xml:space="preserve">, </w:t>
      </w:r>
      <w:hyperlink r:id="rId7">
        <w:r>
          <w:rPr>
            <w:rStyle w:val="Hyperlink"/>
            <w:rFonts w:ascii="Google Sans;Roboto;Arial;sans-serif" w:hAnsi="Google Sans;Roboto;Arial;sans-serif"/>
            <w:b w:val="false"/>
            <w:strike w:val="false"/>
            <w:dstrike w:val="false"/>
            <w:sz w:val="20"/>
            <w:szCs w:val="20"/>
            <w:u w:val="none"/>
            <w:effect w:val="none"/>
          </w:rPr>
          <w:t>4</w:t>
        </w:r>
      </w:hyperlink>
      <w:r>
        <w:rPr>
          <w:rFonts w:ascii="Google Sans;Roboto;Arial;sans-serif" w:hAnsi="Google Sans;Roboto;Arial;sans-serif"/>
          <w:b w:val="false"/>
          <w:strike w:val="false"/>
          <w:dstrike w:val="false"/>
          <w:sz w:val="20"/>
          <w:szCs w:val="20"/>
          <w:u w:val="none"/>
          <w:effect w:val="none"/>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pPr>
        <w:pStyle w:val="Heading1"/>
        <w:spacing w:before="0" w:after="120"/>
        <w:rPr/>
      </w:pPr>
      <w:r>
        <w:rPr>
          <w:rFonts w:hint="eastAsia"/>
        </w:rPr>
        <w:t>150</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 xml:space="preserve">(Figure 1, </w:t>
      </w:r>
      <w:r>
        <w:rPr>
          <w:shd w:fill="00FFFF" w:val="clear"/>
        </w:rPr>
        <w:t>Table S1 &lt;rosetta_stone&gt;</w:t>
      </w:r>
      <w:r>
        <w:rPr>
          <w:shd w:fill="00FFFF" w:val="clear"/>
        </w:rPr>
        <w:t xml:space="preserve"> )</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&gt;=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w:t>
      </w:r>
      <w:r>
        <w:rPr>
          <w:shd w:fill="auto" w:val="clear"/>
        </w:rPr>
        <w:t xml:space="preserve">. The </w:t>
      </w:r>
      <w:r>
        <w:rPr>
          <w:shd w:fill="auto" w:val="clear"/>
        </w:rPr>
        <w:t xml:space="preserve">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intuitive. </w:t>
      </w:r>
      <w:r>
        <w:rPr>
          <w:shd w:fill="00FFFF" w:val="clear"/>
        </w:rPr>
        <w:t xml:space="preserve">Table </w:t>
      </w:r>
      <w:r>
        <w:rPr>
          <w:shd w:fill="00FFFF" w:val="clear"/>
        </w:rPr>
        <w:t xml:space="preserve">S1 </w:t>
      </w:r>
      <w:r>
        <w:rPr>
          <w:shd w:fill="00FFFF" w:val="clear"/>
        </w:rPr>
        <w:t>&lt;rosetta stone&gt;</w:t>
      </w:r>
      <w:r>
        <w:rPr>
          <w:shd w:fill="auto" w:val="clea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w:t>
      </w:r>
      <w:r>
        <w:rPr>
          <w:shd w:fill="auto" w:val="clear"/>
        </w:rPr>
        <w:t xml:space="preserve"> We also tallied </w:t>
      </w:r>
      <w:r>
        <w:rPr>
          <w:shd w:fill="auto" w:val="clear"/>
        </w:rPr>
        <w:t xml:space="preserve">their associations to SBSs and to sex within </w:t>
      </w:r>
      <w:r>
        <w:rPr>
          <w:shd w:fill="auto" w:val="clear"/>
        </w:rPr>
        <w:t>individual</w:t>
      </w:r>
      <w:r>
        <w:rPr>
          <w:shd w:fill="auto" w:val="clear"/>
        </w:rPr>
        <w:t xml:space="preserve"> cancer type</w:t>
      </w:r>
      <w:r>
        <w:rPr>
          <w:shd w:fill="auto" w:val="clear"/>
        </w:rPr>
        <w:t>s</w:t>
      </w:r>
      <w:r>
        <w:rPr>
          <w:shd w:fill="auto" w:val="clear"/>
        </w:rPr>
        <w:t xml:space="preserve">. </w:t>
      </w:r>
      <w:r>
        <w:rPr>
          <w:shd w:fill="auto" w:val="clear"/>
        </w:rPr>
        <w:t>Finally, i</w:t>
      </w:r>
      <w:r>
        <w:rPr>
          <w:shd w:fill="auto" w:val="clear"/>
        </w:rPr>
        <w:t>n addition to the supplementary information provided here, we also provide a web site to facilitate exploration of these signature</w:t>
      </w:r>
      <w:r>
        <w:rPr>
          <w:shd w:fill="auto" w:val="clear"/>
        </w:rPr>
        <w:t xml:space="preserve">s </w:t>
      </w:r>
      <w:r>
        <w:rPr>
          <w:shd w:fill="00FFFF" w:val="clear"/>
        </w:rPr>
        <w:t>(</w:t>
      </w:r>
      <w:hyperlink r:id="rId8">
        <w:r>
          <w:rPr>
            <w:rStyle w:val="Hyperlink"/>
            <w:shd w:fill="00FFFF" w:val="clear"/>
          </w:rPr>
          <w:t>https://indelsignaturebrowser.shinyapps.io/indel-signature-browser/</w:t>
        </w:r>
      </w:hyperlink>
      <w:r>
        <w:rPr>
          <w:shd w:fill="00FFFF" w:val="clear"/>
        </w:rPr>
        <w:t xml:space="preserve"> </w:t>
      </w:r>
      <w:r>
        <w:rPr>
          <w:shd w:fill="00FFFF" w:val="clear"/>
        </w:rPr>
        <w:t>Shorten last part if possible</w:t>
      </w:r>
      <w:r>
        <w:rPr>
          <w:shd w:fill="00FFFF" w:val="clear"/>
        </w:rPr>
        <w:t>)</w:t>
      </w:r>
      <w:r>
        <w:rPr>
          <w:shd w:fill="auto" w:val="clear"/>
        </w:rPr>
        <w:t>.</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w:t>
      </w:r>
      <w:r>
        <w:rPr>
          <w:shd w:fill="auto" w:val="clear"/>
        </w:rPr>
        <w:t>s</w:t>
      </w:r>
      <w:r>
        <w:rPr>
          <w:shd w:fill="auto" w:val="clear"/>
        </w:rPr>
        <w:t xml:space="preserve"> </w:t>
      </w:r>
      <w:r>
        <w:rPr>
          <w:shd w:fill="auto" w:val="clear"/>
        </w:rPr>
        <w:t>us</w:t>
      </w:r>
      <w:r>
        <w:rPr/>
        <w:t xml:space="preserve">ing a method based on hierarchical Dirichlet processes  </w:t>
      </w:r>
      <w:bookmarkStart w:id="13" w:name="ZOTERO_BREF_sXKgi2ptdMXh"/>
      <w:r>
        <w:rPr/>
        <w:t>(Liu et al. 2023)</w:t>
      </w:r>
      <w:bookmarkEnd w:id="13"/>
      <w:r>
        <w:rPr/>
        <w:t xml:space="preserve">, and a method based on non-negative matrix factorization </w:t>
      </w:r>
      <w:bookmarkStart w:id="14" w:name="ZOTERO_BREF_Ax2rB3g50il2"/>
      <w:r>
        <w:rPr/>
        <w:t>(Islam et al. 2022)</w:t>
      </w:r>
      <w:bookmarkEnd w:id="14"/>
      <w:r>
        <w:rPr/>
        <w:t xml:space="preserve">. The extracted signatures were broadly consistent between the two methods </w:t>
      </w:r>
      <w:r>
        <w:rPr>
          <w:shd w:fill="FFFF00" w:val="clear"/>
        </w:rPr>
        <w:t>(</w:t>
      </w:r>
      <w:r>
        <w:rPr>
          <w:shd w:fill="FFFF00" w:val="clear"/>
        </w:rPr>
        <w:t>T</w:t>
      </w:r>
      <w:r>
        <w:rPr>
          <w:shd w:fill="FFFF00" w:val="clear"/>
        </w:rPr>
        <w:t xml:space="preserve">able 1, shiny app, </w:t>
      </w:r>
      <w:r>
        <w:rPr>
          <w:shd w:fill="FFFF00" w:val="clear"/>
        </w:rPr>
        <w:t>make a reference for the zenodo site of the vignette; can we get a doi for the shiny app?</w:t>
      </w:r>
      <w:r>
        <w:rPr>
          <w:shd w:fill="FFFF00" w:val="clear"/>
        </w:rPr>
        <w:t xml:space="preserve">), </w:t>
      </w:r>
      <w:r>
        <w:rPr/>
        <w:t>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 xml:space="preserve"> </w:t>
      </w:r>
      <w:r>
        <w:rPr/>
        <w:t>(Table 1)</w:t>
      </w:r>
      <w:r>
        <w:rPr/>
        <w:t>.</w:t>
      </w:r>
    </w:p>
    <w:p>
      <w:pPr>
        <w:pStyle w:val="normalfirst"/>
        <w:ind w:firstLine="720"/>
        <w:rPr/>
      </w:pPr>
      <w:r>
        <w:rPr/>
        <w:t xml:space="preserve">Because lossless translation between signatures in the 83-type and the two new classification schemes is impossible </w:t>
      </w:r>
      <w:r>
        <w:rPr>
          <w:shd w:fill="00FFFF" w:val="clear"/>
        </w:rPr>
        <w:t>(Table S1 &lt;rosetta stone&gt;)</w:t>
      </w:r>
      <w:r>
        <w:rPr>
          <w:shd w:fill="00FFFF" w:val="clear"/>
        </w:rPr>
        <w:t>,</w:t>
      </w:r>
      <w:r>
        <w:rPr/>
        <w:t xml:space="preserve"> we used tumor mutational spectra dominated by individual signatures to systematically elucidate correspondences between signatures in these classifiation schemes. </w:t>
      </w:r>
      <w:r>
        <w:rPr>
          <w:shd w:fill="00FFFF" w:val="clear"/>
        </w:rPr>
        <w:t>Table 1</w:t>
      </w:r>
      <w:r>
        <w:rPr/>
        <w:t xml:space="preserve"> shows the co</w:t>
      </w:r>
      <w:r>
        <w:rPr/>
        <w:t>rrespondencess</w:t>
      </w:r>
      <w:r>
        <w:rPr/>
        <w:t xml:space="preserve">, with details and discussion in </w:t>
      </w:r>
      <w:r>
        <w:rPr>
          <w:shd w:fill="FFFF00" w:val="clear"/>
        </w:rPr>
        <w:t>&lt;cite vignette and shiny app&gt;</w:t>
      </w:r>
    </w:p>
    <w:p>
      <w:pPr>
        <w:pStyle w:val="normalfirst"/>
        <w:ind w:firstLine="720"/>
        <w:rPr/>
      </w:pPr>
      <w:r>
        <w:rPr/>
        <w:t>In several cases, the 89 and 476 type systems were able to distinguish signatures that the 83-type system merged</w:t>
      </w:r>
      <w:r>
        <w:rPr>
          <w:shd w:fill="FFFF00" w:val="clear"/>
        </w:rPr>
        <w:t xml:space="preserve">. </w:t>
      </w:r>
      <w:r>
        <w:rPr>
          <w:shd w:fill="FFFF00" w:val="clear"/>
        </w:rPr>
        <w:t xml:space="preserve">These are clearest and least surprising for deletions of single T bases in the context of tracts of poly-T &gt;= 5 in length and which across the spectra we analyzed are the most numerous among the groupings shown in plots of 89-type spectra, and the the monotonic increase in the numbers of these deletions with increasing length of the poly-T tract is also clear in a 476-type plot of all indels analyzed. </w:t>
      </w:r>
    </w:p>
    <w:p>
      <w:pPr>
        <w:pStyle w:val="normalfirst"/>
        <w:ind w:hanging="0" w:start="0"/>
        <w:rPr>
          <w:highlight w:val="none"/>
          <w:shd w:fill="FF0000" w:val="clear"/>
        </w:rPr>
      </w:pPr>
      <w:r>
        <w:rPr>
          <w:shd w:fill="FF0000" w:val="clear"/>
        </w:rPr>
      </w:r>
    </w:p>
    <w:p>
      <w:pPr>
        <w:pStyle w:val="normalfirst"/>
        <w:ind w:hanging="0" w:start="0"/>
        <w:rPr>
          <w:highlight w:val="none"/>
          <w:shd w:fill="FF0000" w:val="clear"/>
        </w:rPr>
      </w:pPr>
      <w:r>
        <w:rPr>
          <w:shd w:fill="FF0000" w:val="clear"/>
        </w:rPr>
        <w:t xml:space="preserve">2? </w:t>
      </w:r>
      <w:r>
        <w:rPr>
          <w:shd w:fill="FF0000" w:val="clear"/>
        </w:rPr>
        <w:t>add info on assignments</w:t>
      </w:r>
    </w:p>
    <w:p>
      <w:pPr>
        <w:pStyle w:val="normalfirst"/>
        <w:ind w:hanging="0" w:start="0"/>
        <w:rPr>
          <w:highlight w:val="none"/>
          <w:shd w:fill="FF0000" w:val="clear"/>
        </w:rPr>
      </w:pPr>
      <w:r>
        <w:rPr>
          <w:shd w:fill="FF0000" w:val="clear"/>
        </w:rPr>
        <w:t>1?</w:t>
      </w:r>
    </w:p>
    <w:p>
      <w:pPr>
        <w:pStyle w:val="normalfirst"/>
        <w:ind w:firstLine="720"/>
        <w:rPr>
          <w:shd w:fill="FFFF00" w:val="clear"/>
        </w:rPr>
      </w:pPr>
      <w:r>
        <w:rPr>
          <w:shd w:fill="FFFF00" w:val="clear"/>
        </w:rPr>
      </w:r>
    </w:p>
    <w:p>
      <w:pPr>
        <w:pStyle w:val="normalfirst"/>
        <w:ind w:firstLine="720"/>
        <w:rPr/>
      </w:pPr>
      <w:r>
        <w:rPr>
          <w:rFonts w:eastAsia="宋体" w:hint="eastAsia"/>
        </w:rPr>
        <w:t>C</w:t>
      </w:r>
      <w:r>
        <w:rPr>
          <w:rFonts w:eastAsia="宋体" w:hint="eastAsia"/>
        </w:rPr>
        <w:t>onversely, there were two cases in which the 83-type and 476 type systems clearly differentiated signatures that were almost identical the 89-type system. One case consisted of InsDel13 and C with are nearly identical in the 89-type system because it combines deletion of single Ts in stretches of 1, 2, 3, or 4 Ts. However the 83 and 476 type systems show that InsDelC has deletions of 1 T from ATA (ATA</w:t>
      </w:r>
      <w:r>
        <w:rPr>
          <w:rFonts w:eastAsia="DejaVu Sans" w:cs="DejaVu Sans" w:hint="eastAsia" w:ascii="DejaVu Sans" w:hAnsi="DejaVu Sans"/>
        </w:rPr>
        <w:t>→</w:t>
      </w:r>
      <w:r>
        <w:rPr>
          <w:rFonts w:eastAsia="宋体" w:hint="eastAsia"/>
        </w:rPr>
        <w:t xml:space="preserve">AA), while InsDel13 </w:t>
      </w:r>
      <w:r>
        <w:rPr>
          <w:rFonts w:eastAsia="宋体" w:hint="eastAsia"/>
        </w:rPr>
        <w:t>h</w:t>
      </w:r>
      <w:r>
        <w:rPr>
          <w:rFonts w:eastAsia="宋体" w:hint="eastAsia"/>
        </w:rPr>
        <w:t>as deletions of T from ATTA (ATTA</w:t>
      </w:r>
      <w:r>
        <w:rPr>
          <w:rFonts w:eastAsia="DejaVu Sans" w:cs="DejaVu Sans" w:hint="eastAsia" w:ascii="DejaVu Sans" w:hAnsi="DejaVu Sans"/>
        </w:rPr>
        <w:t>→</w:t>
      </w:r>
      <w:r>
        <w:rPr>
          <w:rFonts w:eastAsia="宋体" w:hint="eastAsia"/>
        </w:rPr>
        <w:t>ATA, Sup Figure S1A</w:t>
      </w:r>
      <w:r>
        <w:rPr/>
        <w:t>).</w:t>
      </w:r>
      <w:r>
        <w:rPr>
          <w:rFonts w:eastAsia="宋体" w:hint="eastAsia"/>
          <w:highlight w:val="yellow"/>
        </w:rPr>
        <w:t xml:space="preserve"> </w:t>
      </w:r>
    </w:p>
    <w:p>
      <w:pPr>
        <w:pStyle w:val="normalfirst"/>
        <w:ind w:firstLine="720"/>
        <w:rPr/>
      </w:pPr>
      <w:r>
        <w:rPr>
          <w:rFonts w:eastAsia="宋体" w:hint="eastAsia"/>
          <w:shd w:fill="auto" w:val="clear"/>
        </w:rPr>
        <w:t xml:space="preserve">The </w:t>
      </w:r>
      <w:r>
        <w:rPr>
          <w:rFonts w:eastAsia="宋体" w:hint="eastAsia"/>
          <w:shd w:fill="auto" w:val="clear"/>
        </w:rPr>
        <w:t xml:space="preserve">other </w:t>
      </w:r>
      <w:r>
        <w:rPr>
          <w:rFonts w:eastAsia="宋体" w:hint="eastAsia"/>
          <w:shd w:fill="auto" w:val="clear"/>
        </w:rPr>
        <w:t>case consisted of I</w:t>
      </w:r>
      <w:r>
        <w:rPr>
          <w:rFonts w:eastAsia="宋体" w:hint="eastAsia"/>
        </w:rPr>
        <w:t xml:space="preserve">nsDel11 and InsDel16. InsDel11 has insertions of one C next to an isolated C (C with non-Cs on each side, e.g. ACG→ACCG) and insertion of a one T next to an isolated T (e.g. GTG→GTTG), while InsDel16, has insertion of one C between non-Cs (e.g. AT→ACT), and insertion of one T between non-Ts (e.g. AG→ATG </w:t>
      </w:r>
      <w:commentRangeStart w:id="0"/>
      <w:r>
        <w:rPr>
          <w:rFonts w:eastAsia="宋体" w:hint="eastAsia"/>
        </w:rPr>
        <w:t>Sup Figure S1B</w:t>
      </w:r>
      <w:r>
        <w:rPr/>
        <w:t xml:space="preserve">). </w:t>
      </w:r>
      <w:r>
        <w:rPr/>
      </w:r>
      <w:commentRangeEnd w:id="0"/>
      <w:r>
        <w:commentReference w:id="0"/>
      </w:r>
      <w:r>
        <w:rPr/>
        <w:t xml:space="preserve"> </w:t>
      </w:r>
      <w:r>
        <w:rPr/>
        <w:t xml:space="preserve">Again, </w:t>
      </w:r>
      <w:r>
        <w:rPr>
          <w:rFonts w:eastAsia="宋体" w:hint="eastAsia"/>
          <w:shd w:fill="auto" w:val="clear"/>
        </w:rPr>
        <w:t>the 89-type sytem does not capture these differences, while the 83 and 476-type systems do.</w:t>
      </w:r>
    </w:p>
    <w:p>
      <w:pPr>
        <w:pStyle w:val="normalfirst"/>
        <w:rPr>
          <w:b w:val="false"/>
          <w:bCs w:val="false"/>
          <w:i w:val="false"/>
          <w:iCs w:val="false"/>
        </w:rPr>
      </w:pPr>
      <w:r>
        <w:rPr>
          <w:b w:val="false"/>
          <w:bCs w:val="false"/>
          <w:i w:val="false"/>
          <w:iCs w:val="false"/>
        </w:rPr>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t xml:space="preserve">One example of </w:t>
      </w:r>
      <w:r>
        <w:rPr/>
        <w:t xml:space="preserve">the </w:t>
      </w:r>
      <w:r>
        <w:rPr/>
        <w:t>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eastAsia="DejaVu Sans" w:cs="DejaVu Sans" w:hint="eastAsia" w:ascii="DejaVu Sans" w:hAnsi="DejaVu Sans"/>
        </w:rPr>
        <w:t>→</w:t>
      </w:r>
      <w:r>
        <w:rPr/>
        <w:t xml:space="preserve">T single base substitutions in the AA SBS signature and of the frequent involvement of adenines in the AA DBS signatures </w:t>
      </w:r>
      <w:r>
        <w:rPr>
          <w:shd w:fill="00FFFF" w:val="clear"/>
        </w:rPr>
        <w:t>&lt;</w:t>
      </w:r>
      <w:r>
        <w:rPr>
          <w:shd w:fill="00FFFF" w:val="clear"/>
        </w:rPr>
        <w:t>cite chinese liver cancer paper&gt;</w:t>
      </w:r>
      <w:r>
        <w:rPr>
          <w:shd w:fill="00FFFF" w:val="clear"/>
        </w:rPr>
        <w:t>.</w:t>
      </w:r>
    </w:p>
    <w:p>
      <w:pPr>
        <w:pStyle w:val="normalfirst"/>
        <w:rPr>
          <w:b/>
          <w:bCs/>
          <w:i/>
          <w:iCs/>
        </w:rPr>
      </w:pPr>
      <w:r>
        <w:rPr>
          <w:b/>
          <w:bCs/>
          <w:i/>
          <w:iCs/>
        </w:rPr>
        <w:t xml:space="preserve">PARAGRAPH </w:t>
      </w:r>
      <w:r>
        <w:rPr>
          <w:b/>
          <w:bCs/>
          <w:i/>
          <w:iCs/>
        </w:rPr>
        <w:t xml:space="preserve">InsDel17 </w:t>
      </w:r>
      <w:r>
        <w:rPr>
          <w:b/>
          <w:bCs/>
          <w:i/>
          <w:iCs/>
        </w:rPr>
        <w:t>(top2A)</w:t>
      </w:r>
      <w:r>
        <w:rPr>
          <w:b/>
          <w:bCs/>
          <w:i/>
          <w:iCs/>
        </w:rPr>
        <w:t xml:space="preserve"> vs InsDel8</w:t>
      </w:r>
    </w:p>
    <w:p>
      <w:pPr>
        <w:pStyle w:val="normalfirst"/>
        <w:rPr>
          <w:b/>
          <w:bCs/>
          <w:i/>
          <w:iCs/>
        </w:rPr>
      </w:pPr>
      <w:r>
        <w:rPr>
          <w:b/>
          <w:bCs/>
          <w:i/>
          <w:iCs/>
        </w:rPr>
        <w:t xml:space="preserve">PARAGRAPH: </w:t>
      </w:r>
      <w:r>
        <w:rPr>
          <w:b/>
          <w:bCs/>
          <w:i/>
          <w:iCs/>
        </w:rPr>
        <w:t xml:space="preserve">A_beta looks like apobec in (already known) / a alpha not correlated  A beta is TCA → TA and TCT → TT, SBS2 TCA →  TTA, TCT → TTT SBS13 is TCA → TGA, TCT -&gt;TGT </w:t>
      </w:r>
      <w:hyperlink r:id="rId9">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rStyle w:val="Hyperlink"/>
          <w:b/>
          <w:bCs/>
          <w:i/>
          <w:iCs/>
          <w:color w:val="000000"/>
          <w:u w:val="none"/>
        </w:rPr>
        <w:t>MAYB</w:t>
      </w:r>
      <w:r>
        <w:rPr>
          <w:rStyle w:val="Hyperlink"/>
          <w:b/>
          <w:bCs/>
          <w:i/>
          <w:iCs/>
          <w:color w:val="000000"/>
          <w:u w:val="none"/>
        </w:rPr>
        <w:t xml:space="preserve">E: </w:t>
      </w:r>
      <w:r>
        <w:rPr>
          <w:b/>
          <w:bCs/>
          <w:i/>
          <w:iCs/>
        </w:rPr>
        <w:t>Sig H – 476 doesn’t really capture it</w:t>
      </w:r>
    </w:p>
    <w:p>
      <w:pPr>
        <w:pStyle w:val="normalfirst"/>
        <w:rPr>
          <w:b/>
          <w:bCs/>
          <w:i/>
          <w:iCs/>
        </w:rPr>
      </w:pPr>
      <w:r>
        <w:rPr>
          <w:b/>
          <w:bCs/>
          <w:i/>
          <w:iCs/>
        </w:rPr>
        <w:t xml:space="preserve">PARAGRAPH </w:t>
      </w:r>
      <w:r>
        <w:rPr>
          <w:b/>
          <w:bCs/>
          <w:i/>
          <w:iCs/>
        </w:rPr>
        <w:t>N_beta is the new ID2</w:t>
      </w:r>
    </w:p>
    <w:p>
      <w:pPr>
        <w:pStyle w:val="Normal"/>
        <w:rPr/>
      </w:pPr>
      <w:r>
        <w:rPr/>
        <w:t>&lt;</w:t>
      </w:r>
      <w:r>
        <w:rPr/>
        <w:t xml:space="preserve">but this sentence above in subsection on splitting 1 and 2&gt; </w:t>
      </w:r>
      <w:r>
        <w:rPr/>
        <w:t>When an 83-type signature corresponded to multiple 89-type signatures, such as C_ID1 being represented by InsDel1a, InsDel1b, and InsDel1c, these subdivided signatures often exhibited cancer type specificity or reflected distinct mutational processes. C_ID1 was present across nearly all cancer types. InsDel1a showed the highest prevalence in most cancer types and exhibited moderate activity levels. In contrast, InsDel1b accounted for a greater number of mutations in colon cancer and was associated with POLE deficiency and impaired DNA mismatch repair (</w:t>
      </w:r>
      <w:r>
        <w:rPr>
          <w:shd w:fill="00FFFF" w:val="clear"/>
        </w:rPr>
        <w:t>Table S</w:t>
      </w:r>
      <w:r>
        <w:rPr/>
        <w:t>X; as also suggested by Koh et al., 2025).</w:t>
      </w:r>
      <w:r>
        <w:rPr>
          <w:rFonts w:eastAsia="宋体" w:hint="eastAsia"/>
        </w:rPr>
        <w:t xml:space="preserve"> &lt;</w:t>
      </w:r>
      <w:r>
        <w:rPr>
          <w:rFonts w:eastAsia="宋体" w:hint="eastAsia"/>
        </w:rPr>
        <w:t xml:space="preserve">not sure where this goes&gt; </w:t>
      </w:r>
      <w:r>
        <w:rPr/>
        <w:t>A similar pattern was observed for ID_N, which was found in all cancer types. Its sub-signature, InsDel_N</w:t>
      </w:r>
      <w:r>
        <w:rPr>
          <w:rFonts w:eastAsia="宋体"/>
        </w:rPr>
        <w:t>α</w:t>
      </w:r>
      <w:r>
        <w:rPr/>
        <w:t>, was specifically linked to POLE mutations and mismatch repair deficiency, whereas InsDel_N</w:t>
      </w:r>
      <w:r>
        <w:rPr>
          <w:rFonts w:eastAsia="宋体"/>
        </w:rPr>
        <w:t>β</w:t>
      </w:r>
      <w:r>
        <w:rPr/>
        <w:t xml:space="preserve"> was prevalent across a broad range of cancer types.</w:t>
      </w:r>
    </w:p>
    <w:p>
      <w:pPr>
        <w:pStyle w:val="Heading3"/>
        <w:numPr>
          <w:ilvl w:val="0"/>
          <w:numId w:val="0"/>
        </w:numPr>
        <w:ind w:hanging="0" w:start="0"/>
        <w:rPr>
          <w:i/>
          <w:iCs/>
          <w:sz w:val="24"/>
          <w:szCs w:val="24"/>
        </w:rPr>
      </w:pPr>
      <w:commentRangeStart w:id="1"/>
      <w:r>
        <w:rPr>
          <w:i/>
          <w:iCs/>
          <w:sz w:val="24"/>
          <w:szCs w:val="24"/>
        </w:rPr>
        <w:t>Associations between indel signatures and SBS signatures</w:t>
      </w:r>
      <w:commentRangeEnd w:id="1"/>
      <w:r>
        <w:commentReference w:id="1"/>
      </w:r>
      <w:r>
        <w:rPr>
          <w:i/>
          <w:iCs/>
          <w:sz w:val="24"/>
          <w:szCs w:val="24"/>
        </w:rPr>
      </w:r>
    </w:p>
    <w:p>
      <w:pPr>
        <w:pStyle w:val="Normal"/>
        <w:rPr/>
      </w:pPr>
      <w:r>
        <w:rPr/>
        <w:t xml:space="preserve">We further analyzed the correlations between </w:t>
      </w:r>
      <w:r>
        <w:rPr/>
        <w:t>the</w:t>
      </w:r>
      <w:r>
        <w:rPr/>
        <w:t xml:space="preserve"> </w:t>
      </w:r>
      <w:r>
        <w:rPr/>
        <w:t>i</w:t>
      </w:r>
      <w:r>
        <w:rPr>
          <w:rFonts w:hint="eastAsia"/>
        </w:rPr>
        <w:t>ndel</w:t>
      </w:r>
      <w:r>
        <w:rPr/>
        <w:t xml:space="preserve"> signature activities </w:t>
      </w:r>
      <w:r>
        <w:rPr/>
        <w:t xml:space="preserve">we derived and </w:t>
      </w:r>
      <w:r>
        <w:rPr/>
        <w:t>and SBS signature activities</w:t>
      </w:r>
      <w:r>
        <w:rPr>
          <w:shd w:fill="00FFFF" w:val="clear"/>
        </w:rPr>
        <w:t xml:space="preserve"> from &lt;</w:t>
      </w:r>
      <w:r>
        <w:rPr>
          <w:shd w:fill="00FFFF" w:val="clear"/>
        </w:rPr>
        <w:t xml:space="preserve">use reference&gt; </w:t>
      </w:r>
      <w:r>
        <w:rPr>
          <w:shd w:fill="00FFFF" w:val="clear"/>
        </w:rPr>
        <w:t>Degasperi et al</w:t>
      </w:r>
      <w:r>
        <w:rPr/>
        <w:t>. (</w:t>
      </w:r>
      <w:r>
        <w:rPr>
          <w:shd w:fill="00FFFF" w:val="clear"/>
        </w:rPr>
        <w:t>Table</w:t>
      </w:r>
      <w:r>
        <w:rPr>
          <w:shd w:fill="00FFFF" w:val="clear"/>
        </w:rPr>
        <w:t>s</w:t>
      </w:r>
      <w:r>
        <w:rPr>
          <w:shd w:fill="00FFFF" w:val="clear"/>
        </w:rPr>
        <w:t xml:space="preserve"> S</w:t>
      </w:r>
      <w:r>
        <w:rPr>
          <w:rFonts w:hint="eastAsia"/>
          <w:shd w:fill="00FFFF" w:val="clear"/>
        </w:rPr>
        <w:t xml:space="preserve">2, S3 </w:t>
      </w:r>
      <w:r>
        <w:rPr>
          <w:rFonts w:hint="eastAsia"/>
          <w:shd w:fill="00FFFF" w:val="clear"/>
        </w:rPr>
        <w:t>&lt;need updated table numbers</w:t>
      </w:r>
      <w:r>
        <w:rPr/>
        <w:t xml:space="preserve">). Correlation analysis showed that the 89-type signature classification can distinguish more nuanced mutational processes than the 83-type scheme </w:t>
      </w:r>
      <w:r>
        <w:rPr>
          <w:shd w:fill="00FFFF" w:val="clear"/>
        </w:rPr>
        <w:t>&lt;</w:t>
      </w:r>
      <w:r>
        <w:rPr>
          <w:shd w:fill="00FFFF" w:val="clear"/>
        </w:rPr>
        <w:t>need a visual or a table or something to show “more nuanced” (above) and “improved resolution” (next sentence)&gt;</w:t>
      </w:r>
      <w:r>
        <w:rPr/>
        <w:t xml:space="preserve">. These signatures displayed unique patterns of association with SBS signatures, emphasizing the improved resolution and specificity the 89-type taxonomy provides. Using unsupervised hierarchical clustering, we grouped mutational signatures into </w:t>
      </w:r>
      <w:r>
        <w:rPr/>
        <w:t xml:space="preserve">several distinct modules </w:t>
      </w:r>
      <w:r>
        <w:rPr>
          <w:shd w:fill="00FFFF" w:val="clear"/>
        </w:rPr>
        <w:t>(Figure 5)</w:t>
      </w:r>
      <w:r>
        <w:rPr/>
        <w:t>. T</w:t>
      </w:r>
      <w:r>
        <w:rPr/>
        <w:t xml:space="preserve">he APOBEC-related cluster includes SBS2 and SBS13 </w:t>
      </w:r>
      <w:r>
        <w:rPr/>
        <w:t xml:space="preserve">and </w:t>
      </w:r>
      <w:r>
        <w:rPr/>
        <w:t>showe</w:t>
      </w:r>
      <w:r>
        <w:rPr/>
        <w:t>s</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2"/>
      <w:r>
        <w:rPr/>
        <w:t xml:space="preserve"> C_ID14 (</w:t>
      </w:r>
      <w:r>
        <w:rPr>
          <w:rFonts w:hint="eastAsia"/>
        </w:rPr>
        <w:t>SBS93 correlated</w:t>
      </w:r>
      <w:r>
        <w:rPr/>
        <w:t>)</w:t>
      </w:r>
      <w:r>
        <w:rPr/>
      </w:r>
      <w:commentRangeEnd w:id="2"/>
      <w:r>
        <w:commentReference w:id="2"/>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w:t>
      </w:r>
      <w:r>
        <w:rPr/>
        <w:t>had previously</w:t>
      </w:r>
      <w:r>
        <w:rPr/>
        <w:t xml:space="preserve"> been incorporated into genomic DNA, </w:t>
      </w:r>
      <w:r>
        <w:rPr/>
        <w:t>and this</w:t>
      </w:r>
      <w:r>
        <w:rPr/>
        <w:t xml:space="preserve">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rFonts w:eastAsia="宋体"/>
        </w:rPr>
      </w:pPr>
      <w:commentRangeStart w:id="3"/>
      <w:r>
        <w:rPr/>
        <w:t>Demographic Associations</w:t>
      </w:r>
      <w:r>
        <w:rPr>
          <w:rFonts w:eastAsia="宋体" w:hint="eastAsia"/>
        </w:rPr>
        <w:t xml:space="preserve"> with Gender and Age</w:t>
      </w:r>
      <w:commentRangeEnd w:id="3"/>
      <w:r>
        <w:commentReference w:id="3"/>
      </w:r>
      <w:r>
        <w:rPr>
          <w:rFonts w:eastAsia="宋体" w:hint="eastAsia"/>
        </w:rPr>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(Figure 8A)</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(Figure 8B)</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(Table SX)</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Normal"/>
        <w:rPr>
          <w:rFonts w:eastAsia="宋体"/>
        </w:rPr>
      </w:pPr>
      <w:r>
        <w:rPr>
          <w:rFonts w:eastAsia="宋体"/>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w:t>
      </w:r>
      <w:r>
        <w:rPr>
          <w:rFonts w:eastAsia="宋体" w:hint="eastAsia"/>
        </w:rPr>
        <w:t>32</w:t>
      </w:r>
      <w:r>
        <w:rPr/>
        <w:t xml:space="preserve"> cancer types from the PCAWG and HMF cohorts. As the first study to apply </w:t>
      </w:r>
      <w:r>
        <w:rPr>
          <w:rFonts w:eastAsia="宋体" w:hint="eastAsia"/>
        </w:rPr>
        <w:t>all indel</w:t>
      </w:r>
      <w:r>
        <w:rPr/>
        <w:t xml:space="preserve"> taxonomies</w:t>
      </w:r>
      <w:r>
        <w:rPr>
          <w:rFonts w:eastAsia="宋体" w:hint="eastAsia"/>
        </w:rPr>
        <w:t xml:space="preserve">, </w:t>
      </w:r>
      <w:r>
        <w:rPr/>
        <w:t>the 83-type and 89-type</w:t>
      </w:r>
      <w:r>
        <w:rPr>
          <w:rFonts w:eastAsia="宋体" w:hint="eastAsia"/>
        </w:rPr>
        <w:t xml:space="preserve"> and 476-type,</w:t>
      </w:r>
      <w:r>
        <w:rPr/>
        <w:t xml:space="preserve"> to such a large dataset, we established a comprehensive catalog of 3</w:t>
      </w:r>
      <w:r>
        <w:rPr>
          <w:rFonts w:eastAsia="宋体" w:hint="eastAsia"/>
        </w:rPr>
        <w:t>4</w:t>
      </w:r>
      <w:r>
        <w:rPr/>
        <w:t xml:space="preserve"> 83-type and 4</w:t>
      </w:r>
      <w:r>
        <w:rPr>
          <w:rFonts w:eastAsia="宋体" w:hint="eastAsia"/>
        </w:rPr>
        <w:t>4</w:t>
      </w:r>
      <w:r>
        <w:rP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rP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10">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11">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2">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4"/>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4"/>
      <w:r>
        <w:commentReference w:id="4"/>
      </w:r>
      <w:r>
        <w:rPr>
          <w:rFonts w:eastAsia="宋体" w:hint="eastAsia"/>
        </w:rPr>
        <w:t>.</w:t>
      </w:r>
    </w:p>
    <w:p>
      <w:pPr>
        <w:pStyle w:val="normalfirst"/>
        <w:ind w:firstLineChars="200"/>
        <w:rPr/>
      </w:pPr>
      <w:commentRangeStart w:id="5"/>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5"/>
      <w:r>
        <w:commentReference w:id="5"/>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3">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4">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5">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6">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7"/>
      <w:footerReference w:type="default" r:id="rId18"/>
      <w:footerReference w:type="first" r:id="rId19"/>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07T21:43:00Z" w:initials="ML">
    <w:p>
      <w:pPr>
        <w:overflowPunct w:val="false"/>
        <w:spacing w:before="0" w:after="0" w:lineRule="auto" w:line="240"/>
        <w:rPr/>
      </w:pPr>
      <w:r>
        <w:annotationRef/>
      </w:r>
      <w:r>
        <w:rPr>
          <w:rFonts w:cs="Noto Sans Arabic UI" w:eastAsia="宋体" w:ascii="Calibri" w:hAnsi="Calibri"/>
          <w:sz w:val="22"/>
          <w:szCs w:val="22"/>
        </w:rPr>
        <w:t>Mo stopped here for adding sup info</w:t>
      </w:r>
    </w:p>
  </w:comment>
  <w:comment w:id="1" w:author="Mo Liu" w:date="2026-05-06T20:28:00Z" w:initials="ML">
    <w:p>
      <w:pPr>
        <w:overflowPunct w:val="false"/>
        <w:spacing w:before="0" w:after="0" w:lineRule="auto" w:line="240"/>
        <w:rPr/>
      </w:pPr>
      <w:r>
        <w:annotationRef/>
      </w:r>
      <w:r>
        <w:rPr>
          <w:rFonts w:cs="Noto Sans Arabic UI" w:eastAsia="宋体" w:ascii="Calibri" w:hAnsi="Calibri"/>
          <w:sz w:val="22"/>
          <w:szCs w:val="22"/>
        </w:rPr>
        <w:t>Mo finished writing for this section</w:t>
      </w:r>
    </w:p>
  </w:comment>
  <w:comment w:id="2" w:author="Mo Liu" w:date="2026-04-03T21:55:00Z" w:initials="ML">
    <w:p>
      <w:pPr>
        <w:overflowPunct w:val="true"/>
        <w:spacing w:lineRule="auto" w:line="240" w:before="0" w:after="0"/>
        <w:rPr/>
      </w:pPr>
      <w:r>
        <w:annotationRef/>
      </w:r>
      <w:r>
        <w:rPr>
          <w:rFonts w:eastAsia="宋体" w:cs="Noto Sans Arabic UI" w:ascii="Calibri" w:hAnsi="Calibri"/>
          <w:sz w:val="22"/>
          <w:szCs w:val="22"/>
        </w:rPr>
        <w:t>Figure 5 shows C_ID14’s high correlation with SBS93, the TSB further supports its formation due to DNA adduct</w:t>
      </w:r>
    </w:p>
  </w:comment>
  <w:comment w:id="3" w:author="Mo Liu" w:date="2026-05-06T15:46:00Z" w:initials="ML">
    <w:p>
      <w:pPr>
        <w:overflowPunct w:val="false"/>
        <w:spacing w:before="0" w:after="0" w:lineRule="auto" w:line="240"/>
        <w:rPr/>
      </w:pPr>
      <w:r>
        <w:annotationRef/>
      </w:r>
      <w:r>
        <w:rPr>
          <w:rFonts w:cs="Noto Sans Arabic UI" w:eastAsia="宋体" w:ascii="Calibri" w:hAnsi="Calibri"/>
          <w:sz w:val="22"/>
          <w:szCs w:val="22"/>
        </w:rPr>
        <w:t>Mo finished writing for this section</w:t>
      </w:r>
    </w:p>
  </w:comment>
  <w:comment w:id="4" w:author="Mo Liu" w:date="2026-04-07T16:26:00Z" w:initials="ML">
    <w:p>
      <w:pPr>
        <w:overflowPunct w:val="false"/>
        <w:spacing w:before="0" w:after="0" w:lineRule="auto" w:line="240"/>
        <w:rPr/>
      </w:pPr>
      <w:r>
        <w:annotationRef/>
      </w:r>
      <w:r>
        <w:rPr>
          <w:rFonts w:eastAsia="宋体" w:cs="Noto Sans Arabic UI" w:ascii="Calibri" w:hAnsi="Calibri"/>
          <w:sz w:val="22"/>
          <w:szCs w:val="22"/>
        </w:rPr>
        <w:t>Mo edit</w:t>
      </w:r>
    </w:p>
  </w:comment>
  <w:comment w:id="5" w:author="Mo Liu" w:date="2026-04-07T16:27:00Z" w:initials="ML">
    <w:p>
      <w:pPr>
        <w:overflowPunct w:val="false"/>
        <w:spacing w:before="0" w:after="0" w:lineRule="auto" w:line="240"/>
        <w:rPr/>
      </w:pPr>
      <w:r>
        <w:annotationRef/>
      </w:r>
      <w:r>
        <w:rPr>
          <w:rFonts w:cs="Noto Sans Arabic UI" w:eastAsia="宋体" w:ascii="Calibri" w:hAnsi="Calibri"/>
          <w:sz w:val="22"/>
          <w:szCs w:val="22"/>
        </w:rPr>
        <w:t>To Steve: Please check if you edited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auto"/>
    <w:pitch w:val="default"/>
  </w:font>
  <w:font w:name="DejaVu Sans">
    <w:charset w:val="01"/>
    <w:family w:val="swiss"/>
    <w:pitch w:val="default"/>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spacing w:lineRule="auto" w:line="480"/>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manusights.com/blog/cell-formatting-requirements" TargetMode="External"/><Relationship Id="rId4" Type="http://schemas.openxmlformats.org/officeDocument/2006/relationships/hyperlink" Target="https://www.cell.com/cell-genomics/information-for-authors/article-types" TargetMode="External"/><Relationship Id="rId5" Type="http://schemas.openxmlformats.org/officeDocument/2006/relationships/hyperlink" Target="https://manusights.com/blog/cell-formatting-requirements" TargetMode="External"/><Relationship Id="rId6" Type="http://schemas.openxmlformats.org/officeDocument/2006/relationships/hyperlink" Target="https://www.cell.com/multi-journal-submission/authors" TargetMode="External"/><Relationship Id="rId7" Type="http://schemas.openxmlformats.org/officeDocument/2006/relationships/hyperlink" Target="https://www.cell.com/cell/information-for-authors/article-types" TargetMode="External"/><Relationship Id="rId8" Type="http://schemas.openxmlformats.org/officeDocument/2006/relationships/hyperlink" Target="https://indelsignaturebrowser.shinyapps.io/indel-signature-browser/" TargetMode="External"/><Relationship Id="rId9" Type="http://schemas.openxmlformats.org/officeDocument/2006/relationships/hyperlink" Target="https://www.sciencedirect.com/science/article/pii/S2211124722002996" TargetMode="External"/><Relationship Id="rId10" Type="http://schemas.openxmlformats.org/officeDocument/2006/relationships/hyperlink" Target="https://dcc.icgc.org/releases/current/Projects/" TargetMode="External"/><Relationship Id="rId11" Type="http://schemas.openxmlformats.org/officeDocument/2006/relationships/hyperlink" Target="https://cancer.sanger.ac.uk/cosmic/census?tier=1" TargetMode="External"/><Relationship Id="rId12" Type="http://schemas.openxmlformats.org/officeDocument/2006/relationships/hyperlink" Target="https://cancer.sanger.ac.uk/signatures/id/" TargetMode="External"/><Relationship Id="rId13" Type="http://schemas.openxmlformats.org/officeDocument/2006/relationships/hyperlink" Target="https://bmcbioinformatics.biomedcentral.com/articles/10.1186/s12859-020-03772-3" TargetMode="External"/><Relationship Id="rId14" Type="http://schemas.openxmlformats.org/officeDocument/2006/relationships/hyperlink" Target="https://doi.org/10.1016/j.celrep.2023.112930" TargetMode="External"/><Relationship Id="rId15" Type="http://schemas.openxmlformats.org/officeDocument/2006/relationships/hyperlink" Target="https://hgdownload.cse.ucsc.edu/goldenPath/hg19/encodeDCC/wgEncodeUwRepliSeq/" TargetMode="External"/><Relationship Id="rId16" Type="http://schemas.openxmlformats.org/officeDocument/2006/relationships/hyperlink" Target="https://genomebiology.biomedcentral.com/articles/10.1186/s13059-018-1509-y"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225</TotalTime>
  <Application>LibreOffice/26.2.2.2$Linux_X86_64 LibreOffice_project/620$Build-2</Application>
  <AppVersion>15.0000</AppVersion>
  <Pages>30</Pages>
  <Words>7238</Words>
  <Characters>43760</Characters>
  <CharactersWithSpaces>50871</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2026-05-07T13:43:00Z</dcterms:created>
  <dc:creator>Mo Liu</dc:creator>
  <dc:description/>
  <dc:language>en-US</dc:language>
  <cp:lastModifiedBy/>
  <cp:lastPrinted>2025-06-06T09:23:00Z</cp:lastPrinted>
  <dcterms:modified xsi:type="dcterms:W3CDTF">2026-05-07T21:28:30Z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