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rFonts w:cs="Times New Roman" w:ascii="Times New Roman" w:hAnsi="Times New Roman"/>
          <w:b/>
          <w:bCs/>
        </w:rPr>
        <w:t>Figure Legend</w:t>
      </w:r>
      <w:r>
        <w:rPr>
          <w:rFonts w:cs="Times New Roman" w:ascii="Times New Roman" w:hAnsi="Times New Roman"/>
          <w:b/>
          <w:bCs/>
        </w:rPr>
        <w:t>s</w:t>
      </w:r>
    </w:p>
    <w:p>
      <w:pPr>
        <w:pStyle w:val="Normal"/>
        <w:rPr>
          <w:rFonts w:ascii="Times New Roman" w:hAnsi="Times New Roman" w:cs="Times New Roman"/>
          <w:b/>
          <w:bCs/>
        </w:rPr>
      </w:pPr>
      <w:r>
        <w:rPr>
          <w:rFonts w:cs="Times New Roman" w:ascii="Times New Roman" w:hAnsi="Times New Roman"/>
          <w:b/>
          <w:bCs/>
        </w:rPr>
        <w:t>Figure 1 The aristolochic acid (AA) indel signatures in the 83-</w:t>
      </w:r>
      <w:r>
        <w:rPr>
          <w:rFonts w:cs="Times New Roman" w:ascii="Times New Roman" w:hAnsi="Times New Roman"/>
          <w:b/>
          <w:bCs/>
        </w:rPr>
        <w:t xml:space="preserve">type, </w:t>
      </w:r>
      <w:r>
        <w:rPr>
          <w:rFonts w:cs="Times New Roman" w:ascii="Times New Roman" w:hAnsi="Times New Roman"/>
          <w:b/>
          <w:bCs/>
        </w:rPr>
        <w:t xml:space="preserve">89-type </w:t>
      </w:r>
      <w:r>
        <w:rPr>
          <w:rFonts w:cs="Times New Roman" w:ascii="Times New Roman" w:hAnsi="Times New Roman"/>
          <w:b/>
          <w:bCs/>
        </w:rPr>
        <w:t>and 476-type</w:t>
      </w:r>
      <w:r>
        <w:rPr>
          <w:rFonts w:cs="Times New Roman" w:ascii="Times New Roman" w:hAnsi="Times New Roman"/>
          <w:b/>
          <w:bCs/>
        </w:rPr>
        <w:t xml:space="preserve"> classification schemes </w:t>
      </w:r>
      <w:r>
        <w:rPr>
          <w:rFonts w:cs="Times New Roman" w:ascii="Times New Roman" w:hAnsi="Times New Roman"/>
          <w:b/>
          <w:bCs/>
        </w:rPr>
        <w:t>(signature 23).</w:t>
      </w:r>
    </w:p>
    <w:p>
      <w:pPr>
        <w:pStyle w:val="Normal"/>
        <w:rPr>
          <w:rFonts w:ascii="Times New Roman" w:hAnsi="Times New Roman" w:cs="Times New Roman"/>
          <w:b/>
          <w:bCs/>
        </w:rPr>
      </w:pPr>
      <w:r>
        <w:rPr>
          <w:rFonts w:cs="Times New Roman" w:ascii="Times New Roman" w:hAnsi="Times New Roman"/>
          <w:b/>
          <w:bCs/>
        </w:rPr>
        <w:t xml:space="preserve">A </w:t>
      </w:r>
      <w:r>
        <w:rPr>
          <w:rFonts w:cs="Times New Roman" w:ascii="Times New Roman" w:hAnsi="Times New Roman"/>
          <w:b w:val="false"/>
          <w:bCs w:val="false"/>
        </w:rPr>
        <w:t xml:space="preserve">Looking at labeled bars from left to right, </w:t>
      </w:r>
      <w:r>
        <w:rPr>
          <w:rFonts w:cs="Times New Roman" w:ascii="Times New Roman" w:hAnsi="Times New Roman"/>
          <w:b w:val="false"/>
          <w:bCs w:val="false"/>
        </w:rPr>
        <w:t xml:space="preserve">at </w:t>
      </w:r>
      <w:r>
        <w:rPr>
          <w:rFonts w:cs="Times New Roman" w:ascii="Times New Roman" w:hAnsi="Times New Roman"/>
          <w:b w:val="false"/>
          <w:bCs w:val="false"/>
        </w:rPr>
        <w:t>the 83-type classification highest bar is labeled VTV→VV, indicating a the deletion of a single T (thymine) surrounded by non-thymines (V, the preceding V and following V can be different bases, e.g. ATC→AC). Still in the 83-type classification, t</w:t>
      </w:r>
      <w:r>
        <w:rPr>
          <w:rFonts w:cs="Times New Roman" w:ascii="Times New Roman" w:hAnsi="Times New Roman"/>
        </w:rPr>
        <w:t xml:space="preserve">he second most frequent deletion is a </w:t>
      </w:r>
      <w:r>
        <w:rPr>
          <w:rFonts w:cs="Times New Roman" w:ascii="Times New Roman" w:hAnsi="Times New Roman"/>
        </w:rPr>
        <w:t xml:space="preserve">deletion of single T from </w:t>
      </w:r>
      <w:r>
        <w:rPr>
          <w:rFonts w:cs="Times New Roman" w:ascii="Times New Roman" w:hAnsi="Times New Roman"/>
        </w:rPr>
        <w:t>TT flanked by non T</w:t>
      </w:r>
      <w:r>
        <w:rPr>
          <w:rFonts w:cs="Times New Roman" w:ascii="Times New Roman" w:hAnsi="Times New Roman"/>
        </w:rPr>
        <w:t>s</w:t>
      </w:r>
      <w:r>
        <w:rPr>
          <w:rFonts w:cs="Times New Roman" w:ascii="Times New Roman" w:hAnsi="Times New Roman"/>
        </w:rPr>
        <w:t xml:space="preserve"> (VTTV→VTV). </w:t>
      </w:r>
      <w:r>
        <w:rPr>
          <w:rFonts w:cs="Times New Roman" w:ascii="Times New Roman" w:hAnsi="Times New Roman"/>
        </w:rPr>
        <w:t>In the 89-type classification there is a many-to-many representation of these (and other mutations</w:t>
      </w:r>
      <w:r>
        <w:rPr>
          <w:rFonts w:cs="Times New Roman" w:ascii="Times New Roman" w:hAnsi="Times New Roman"/>
        </w:rPr>
        <w:t>)</w:t>
      </w:r>
      <w:r>
        <w:rPr>
          <w:rFonts w:cs="Times New Roman" w:ascii="Times New Roman" w:hAnsi="Times New Roman"/>
        </w:rPr>
        <w:t xml:space="preserve"> </w:t>
      </w:r>
      <w:r>
        <w:rPr>
          <w:rFonts w:cs="Times New Roman" w:ascii="Times New Roman" w:hAnsi="Times New Roman"/>
        </w:rPr>
        <w:t xml:space="preserve">to </w:t>
      </w:r>
      <w:r>
        <w:rPr>
          <w:rFonts w:cs="Times New Roman" w:ascii="Times New Roman" w:hAnsi="Times New Roman"/>
        </w:rPr>
        <w:t>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rPr>
          <w:rFonts w:ascii="Times New Roman" w:hAnsi="Times New Roman" w:cs="Times New Roman"/>
          <w:b/>
          <w:bCs/>
        </w:rPr>
      </w:pPr>
      <w:r>
        <w:rPr>
          <w:rFonts w:cs="Times New Roman" w:ascii="Times New Roman" w:hAnsi="Times New Roman"/>
          <w:b/>
          <w:bCs/>
        </w:rPr>
        <w:t xml:space="preserve">B </w:t>
      </w:r>
      <w:r>
        <w:rPr>
          <w:rFonts w:cs="Times New Roman" w:ascii="Times New Roman" w:hAnsi="Times New Roman"/>
        </w:rPr>
        <w:t xml:space="preserve">Further to the left </w:t>
      </w:r>
      <w:r>
        <w:rPr>
          <w:rFonts w:cs="Times New Roman" w:ascii="Times New Roman" w:hAnsi="Times New Roman"/>
        </w:rPr>
        <w:t xml:space="preserve">in the 83-type classification there </w:t>
      </w:r>
      <w:r>
        <w:rPr>
          <w:rFonts w:cs="Times New Roman" w:ascii="Times New Roman" w:hAnsi="Times New Roman"/>
        </w:rPr>
        <w:t xml:space="preserve">are three light orange bars, with the highest labeled “e.g. TATA→TA, e.g. TGTG→TG” these bars represent 2-base deletions, with the </w:t>
      </w:r>
      <w:r>
        <w:rPr>
          <w:rFonts w:cs="Times New Roman" w:ascii="Times New Roman" w:hAnsi="Times New Roman"/>
        </w:rPr>
        <w:t>highest bar representing</w:t>
      </w:r>
      <w:r>
        <w:rPr>
          <w:rFonts w:cs="Times New Roman" w:ascii="Times New Roman" w:hAnsi="Times New Roman"/>
        </w:rPr>
        <w:t xml:space="preserve"> a </w:t>
      </w:r>
      <w:r>
        <w:rPr>
          <w:rFonts w:cs="Times New Roman" w:ascii="Times New Roman" w:hAnsi="Times New Roman"/>
        </w:rPr>
        <w:t xml:space="preserve">the deletion of a 2-base unit from the </w:t>
      </w:r>
      <w:r>
        <w:rPr>
          <w:rFonts w:cs="Times New Roman" w:ascii="Times New Roman" w:hAnsi="Times New Roman"/>
        </w:rPr>
        <w:t xml:space="preserve">2-base unit </w:t>
      </w:r>
      <w:r>
        <w:rPr>
          <w:rFonts w:cs="Times New Roman" w:ascii="Times New Roman" w:hAnsi="Times New Roman"/>
        </w:rPr>
        <w:t>duplicated</w:t>
      </w:r>
      <w:r>
        <w:rPr>
          <w:rFonts w:cs="Times New Roman" w:ascii="Times New Roman" w:hAnsi="Times New Roman"/>
        </w:rPr>
        <w:t xml:space="preserve"> (e.g. </w:t>
      </w:r>
      <w:r>
        <w:rPr>
          <w:rFonts w:cs="Times New Roman" w:ascii="Times New Roman" w:hAnsi="Times New Roman"/>
        </w:rPr>
        <w:t xml:space="preserve">a 2-base unit TA, in the duplicated 2-base unit TATA, with the deletion being </w:t>
      </w:r>
      <w:r>
        <w:rPr>
          <w:rFonts w:cs="Times New Roman" w:ascii="Times New Roman" w:hAnsi="Times New Roman"/>
        </w:rPr>
        <w:t xml:space="preserve">TATA→TA). The classification does not capture information on the bases involved. In the 89-type classification, these are captured in </w:t>
      </w:r>
      <w:r>
        <w:rPr>
          <w:rFonts w:cs="Times New Roman" w:ascii="Times New Roman" w:hAnsi="Times New Roman"/>
        </w:rPr>
        <w:t xml:space="preserve">the </w:t>
      </w:r>
      <w:r>
        <w:rPr>
          <w:rFonts w:cs="Times New Roman" w:ascii="Times New Roman" w:hAnsi="Times New Roman"/>
        </w:rPr>
        <w:t xml:space="preserve">tall red bar labeled “many possibilities”, which </w:t>
      </w:r>
      <w:r>
        <w:rPr>
          <w:rFonts w:cs="Times New Roman" w:ascii="Times New Roman" w:hAnsi="Times New Roman"/>
        </w:rPr>
        <w:t>represents</w:t>
      </w:r>
      <w:r>
        <w:rPr>
          <w:rFonts w:cs="Times New Roman" w:ascii="Times New Roman" w:hAnsi="Times New Roman"/>
        </w:rPr>
        <w:t xml:space="preserve"> a wide range of deletions, up to deletions such as </w:t>
      </w:r>
      <w:r>
        <w:rPr>
          <w:rFonts w:cs="Times New Roman" w:ascii="Times New Roman" w:hAnsi="Times New Roman"/>
        </w:rPr>
        <w:t xml:space="preserve">ATATATAT→AT, </w:t>
      </w:r>
      <w:r>
        <w:rPr>
          <w:rFonts w:cs="Times New Roman" w:ascii="Times New Roman" w:hAnsi="Times New Roman"/>
        </w:rPr>
        <w:t>which are essentially absent in this signature</w:t>
      </w:r>
      <w:r>
        <w:rPr>
          <w:rFonts w:cs="Times New Roman" w:ascii="Times New Roman" w:hAnsi="Times New Roman"/>
        </w:rPr>
        <w:t xml:space="preserve">. The tallest of the corresponding bars in the 476-type classification is labeled “e.g. TATA→TA, e.g. TGTG→TG”, </w:t>
      </w:r>
      <w:r>
        <w:rPr>
          <w:rFonts w:cs="Times New Roman" w:ascii="Times New Roman" w:hAnsi="Times New Roman"/>
        </w:rPr>
        <w:t xml:space="preserve">in one-to-one correspondence with </w:t>
      </w:r>
      <w:r>
        <w:rPr>
          <w:rFonts w:cs="Times New Roman" w:ascii="Times New Roman" w:hAnsi="Times New Roman"/>
        </w:rPr>
        <w:t xml:space="preserve">the the light orange bar in the 83-type classification with the same label. </w:t>
      </w:r>
      <w:r>
        <w:rPr>
          <w:rFonts w:cs="Times New Roman" w:ascii="Times New Roman" w:hAnsi="Times New Roman"/>
        </w:rPr>
        <w:t xml:space="preserve">Like </w:t>
      </w:r>
      <w:r>
        <w:rPr>
          <w:rFonts w:cs="Times New Roman" w:ascii="Times New Roman" w:hAnsi="Times New Roman"/>
        </w:rPr>
        <w:t xml:space="preserve">the </w:t>
      </w:r>
      <w:r>
        <w:rPr>
          <w:rFonts w:cs="Times New Roman" w:ascii="Times New Roman" w:hAnsi="Times New Roman"/>
        </w:rPr>
        <w:t xml:space="preserve">83-type classification, </w:t>
      </w:r>
      <w:r>
        <w:rPr>
          <w:rFonts w:cs="Times New Roman" w:ascii="Times New Roman" w:hAnsi="Times New Roman"/>
        </w:rPr>
        <w:t>the 476-classification</w:t>
      </w:r>
      <w:r>
        <w:rPr>
          <w:rFonts w:cs="Times New Roman" w:ascii="Times New Roman" w:hAnsi="Times New Roman"/>
        </w:rPr>
        <w:t xml:space="preserve"> does not capture the identity of the bases involved </w:t>
      </w:r>
      <w:r>
        <w:rPr>
          <w:rFonts w:cs="Times New Roman" w:ascii="Times New Roman" w:hAnsi="Times New Roman"/>
        </w:rPr>
        <w:t>for these deletions</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C</w:t>
      </w:r>
      <w:r>
        <w:rPr>
          <w:rFonts w:cs="Times New Roman" w:ascii="Times New Roman" w:hAnsi="Times New Roman"/>
        </w:rPr>
        <w:t xml:space="preserve"> </w:t>
      </w:r>
      <w:r>
        <w:rPr>
          <w:rFonts w:cs="Times New Roman" w:ascii="Times New Roman" w:hAnsi="Times New Roman"/>
        </w:rPr>
        <w:t>At the far right, in the 83-type-classification, the light purple bar indicates 2-</w:t>
      </w:r>
      <w:r>
        <w:rPr>
          <w:rFonts w:cs="Times New Roman" w:ascii="Times New Roman" w:hAnsi="Times New Roman"/>
        </w:rPr>
        <w:t xml:space="preserve">base </w:t>
      </w:r>
      <w:r>
        <w:rPr>
          <w:rFonts w:cs="Times New Roman" w:ascii="Times New Roman" w:hAnsi="Times New Roman"/>
        </w:rPr>
        <w:t>deletions with microhomology, e.g. GAG→G, where the G flanking the deletion is the microhomologous base. The bases involved are not capture</w:t>
      </w:r>
      <w:r>
        <w:rPr>
          <w:rFonts w:cs="Times New Roman" w:ascii="Times New Roman" w:hAnsi="Times New Roman"/>
        </w:rPr>
        <w:t>d</w:t>
      </w:r>
      <w:r>
        <w:rPr>
          <w:rFonts w:cs="Times New Roman" w:ascii="Times New Roman" w:hAnsi="Times New Roman"/>
        </w:rPr>
        <w:t xml:space="preserve">, and other possibilities include </w:t>
      </w:r>
      <w:r>
        <w:rPr>
          <w:rFonts w:cs="Times New Roman" w:ascii="Times New Roman" w:hAnsi="Times New Roman"/>
        </w:rPr>
        <w:t>GTG→G, TAT→T, and many others. In the 89-type classification these and ma</w:t>
      </w:r>
      <w:r>
        <w:rPr>
          <w:rFonts w:cs="Times New Roman" w:ascii="Times New Roman" w:hAnsi="Times New Roman"/>
        </w:rPr>
        <w:t>n</w:t>
      </w:r>
      <w:r>
        <w:rPr>
          <w:rFonts w:cs="Times New Roman" w:ascii="Times New Roman" w:hAnsi="Times New Roman"/>
        </w:rPr>
        <w:t xml:space="preserve">y other possible deletions are represented by the peak “Many Mh possibilities”, which includes, in addition, deletions such as ATCGTA→A, which are essentially absent from this signature. In </w:t>
      </w:r>
      <w:r>
        <w:rPr>
          <w:rFonts w:cs="Times New Roman" w:ascii="Times New Roman" w:hAnsi="Times New Roman"/>
        </w:rPr>
        <w:t xml:space="preserve">the </w:t>
      </w:r>
      <w:r>
        <w:rPr>
          <w:rFonts w:cs="Times New Roman" w:ascii="Times New Roman" w:hAnsi="Times New Roman"/>
        </w:rPr>
        <w:t xml:space="preserve">476-type classification, as in the 83-type classification, the highest bar is labeled “2 base deletions with microhomology”, and it represents the same set of mutations as the corresponding bar in the 83-type classification. </w:t>
      </w:r>
      <w:r>
        <w:rPr>
          <w:rFonts w:cs="Times New Roman" w:ascii="Times New Roman" w:hAnsi="Times New Roman"/>
          <w:shd w:fill="FFFF00" w:val="clear"/>
        </w:rPr>
        <w:t>However, in general, even for the 476 classification there is many-to-many mapping of deletions and insertions of more than 1 base between the 83-type and 476-type classifications. &lt;need tables&gt;</w:t>
      </w:r>
    </w:p>
    <w:p>
      <w:pPr>
        <w:pStyle w:val="Normal"/>
        <w:rPr>
          <w:rFonts w:ascii="Times New Roman" w:hAnsi="Times New Roman" w:cs="Times New Roman"/>
          <w:b/>
          <w:bCs/>
        </w:rPr>
      </w:pPr>
      <w:r>
        <w:rPr>
          <w:rFonts w:cs="Times New Roman" w:hint="eastAsia" w:ascii="Times New Roman" w:hAnsi="Times New Roman"/>
          <w:b/>
          <w:bCs/>
        </w:rPr>
      </w:r>
      <w:r>
        <w:br w:type="page"/>
      </w:r>
    </w:p>
    <w:p>
      <w:pPr>
        <w:pStyle w:val="Normal"/>
        <w:rPr>
          <w:rFonts w:ascii="Times New Roman" w:hAnsi="Times New Roman" w:cs="Times New Roman"/>
          <w:b/>
          <w:bCs/>
        </w:rPr>
      </w:pPr>
      <w:r>
        <w:rPr>
          <w:rFonts w:cs="Times New Roman" w:hint="eastAsia" w:ascii="Times New Roman" w:hAnsi="Times New Roman"/>
          <w:b/>
          <w:bCs/>
        </w:rPr>
        <w:t xml:space="preserve">Figure </w:t>
      </w:r>
      <w:r>
        <w:rPr>
          <w:rFonts w:cs="Times New Roman" w:ascii="Times New Roman" w:hAnsi="Times New Roman"/>
          <w:b/>
          <w:bCs/>
        </w:rPr>
        <w:t>2</w:t>
      </w:r>
      <w:r>
        <w:rPr>
          <w:rFonts w:cs="Times New Roman" w:hint="eastAsia" w:ascii="Times New Roman" w:hAnsi="Times New Roman"/>
          <w:b/>
          <w:bCs/>
        </w:rPr>
        <w:t xml:space="preserve"> Profiles of signatures extracted in the 83-type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rPr>
          <w:rFonts w:ascii="Times New Roman" w:hAnsi="Times New Roman" w:cs="Times New Roman"/>
          <w:b/>
          <w:bCs/>
        </w:rPr>
      </w:pPr>
      <w:r>
        <w:rPr>
          <w:rFonts w:cs="Times New Roman" w:hint="eastAsia" w:ascii="Times New Roman" w:hAnsi="Times New Roman"/>
          <w:b/>
          <w:bCs/>
        </w:rPr>
        <w:t>Figure 3</w:t>
      </w:r>
      <w:r>
        <w:rPr>
          <w:rFonts w:cs="Times New Roman" w:hint="eastAsia" w:ascii="Times New Roman" w:hAnsi="Times New Roman"/>
        </w:rPr>
        <w:t xml:space="preserve"> </w:t>
      </w:r>
      <w:r>
        <w:rPr>
          <w:rFonts w:cs="Times New Roman" w:hint="eastAsia" w:ascii="Times New Roman" w:hAnsi="Times New Roman"/>
          <w:b/>
          <w:bCs/>
        </w:rPr>
        <w:t>Profiles of signatures extracted in the 89-type classification scheme</w:t>
      </w:r>
    </w:p>
    <w:p>
      <w:pPr>
        <w:pStyle w:val="Normal"/>
        <w:rPr>
          <w:rFonts w:ascii="Times New Roman" w:hAnsi="Times New Roman" w:cs="Times New Roman"/>
        </w:rPr>
      </w:pPr>
      <w:r>
        <w:rPr>
          <w:rFonts w:cs="Times New Roman" w:ascii="Times New Roman" w:hAnsi="Times New Roman"/>
        </w:rPr>
        <w:t xml:space="preserve">The x-axes represents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w:t>
      </w:r>
      <w:r>
        <w:rPr>
          <w:rFonts w:cs="Times New Roman" w:ascii="Times New Roman" w:hAnsi="Times New Roman"/>
          <w:shd w:fill="FFFF00" w:val="clear"/>
        </w:rPr>
        <w:t>Koh &lt;ref&gt;</w:t>
      </w:r>
      <w:r>
        <w:rPr>
          <w:rFonts w:cs="Times New Roman" w:ascii="Times New Roman" w:hAnsi="Times New Roman"/>
        </w:rPr>
        <w:t xml:space="preserve"> (prefix InD)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hint="eastAsia" w:ascii="Times New Roman" w:hAnsi="Times New Roman"/>
          <w:b/>
          <w:bCs/>
        </w:rPr>
        <w:t>Figure 4 Indel signature exposures</w:t>
      </w:r>
    </w:p>
    <w:p>
      <w:pPr>
        <w:pStyle w:val="Normal"/>
        <w:rPr>
          <w:rFonts w:ascii="Times New Roman" w:hAnsi="Times New Roman" w:cs="Times New Roman"/>
        </w:rPr>
      </w:pPr>
      <w:r>
        <w:rPr>
          <w:rFonts w:cs="Times New Roman" w:hint="eastAsia" w:ascii="Times New Roman" w:hAnsi="Times New Roman"/>
        </w:rPr>
        <w:t xml:space="preserve">The size of each dot represents the proportion of genomes with exposures to the signature in the cancer type indicated at the top of the x axis. The color indicates the median exposure </w:t>
      </w:r>
      <w:r>
        <w:rPr>
          <w:rFonts w:cs="Times New Roman" w:hint="eastAsia" w:ascii="Times New Roman" w:hAnsi="Times New Roman"/>
          <w:shd w:fill="FFFF00" w:val="clear"/>
        </w:rPr>
        <w:t>(number of mutations due to the exposure or the proportion of mutations?)</w:t>
      </w:r>
      <w:r>
        <w:rPr>
          <w:rFonts w:cs="Times New Roman" w:hint="eastAsia" w:ascii="Times New Roman" w:hAnsi="Times New Roman"/>
        </w:rPr>
        <w:t xml:space="preserve"> of the given signature in the given cancer type.</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5</w:t>
      </w:r>
      <w:r>
        <w:rPr>
          <w:rFonts w:cs="Times New Roman" w:ascii="Times New Roman" w:hAnsi="Times New Roman"/>
          <w:b/>
          <w:bCs/>
        </w:rPr>
        <w:t xml:space="preserve"> Heatmap of correlation coefficients between 8</w:t>
      </w:r>
      <w:r>
        <w:rPr>
          <w:rFonts w:cs="Times New Roman" w:hint="eastAsia" w:ascii="Times New Roman" w:hAnsi="Times New Roman"/>
          <w:b/>
          <w:bCs/>
        </w:rPr>
        <w:t>3-ty</w:t>
      </w:r>
      <w:r>
        <w:rPr>
          <w:rFonts w:cs="Times New Roman" w:ascii="Times New Roman" w:hAnsi="Times New Roman"/>
          <w:b/>
          <w:bCs/>
        </w:rPr>
        <w:t>pe/8</w:t>
      </w:r>
      <w:r>
        <w:rPr>
          <w:rFonts w:cs="Times New Roman" w:hint="eastAsia" w:ascii="Times New Roman" w:hAnsi="Times New Roman"/>
          <w:b/>
          <w:bCs/>
        </w:rPr>
        <w:t>9-ty</w:t>
      </w:r>
      <w:r>
        <w:rPr>
          <w:rFonts w:cs="Times New Roman" w:ascii="Times New Roman" w:hAnsi="Times New Roman"/>
          <w:b/>
          <w:bCs/>
        </w:rPr>
        <w:t>pe indel signatures and SBS signatures.</w:t>
      </w:r>
    </w:p>
    <w:p>
      <w:pPr>
        <w:pStyle w:val="Normal"/>
        <w:rPr>
          <w:rFonts w:ascii="Times New Roman" w:hAnsi="Times New Roman" w:cs="Times New Roman"/>
        </w:rPr>
      </w:pPr>
      <w:r>
        <w:rPr>
          <w:rFonts w:cs="Times New Roman" w:ascii="Times New Roman" w:hAnsi="Times New Roman"/>
        </w:rPr>
        <w:t>This figure presents a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cs="Times New Roman" w:hint="eastAsia" w:ascii="Times New Roman" w:hAnsi="Times New Roman"/>
        </w:rPr>
        <w:t xml:space="preserve"> (DNA mismatch repair)</w:t>
      </w:r>
      <w:r>
        <w:rPr>
          <w:rFonts w:cs="Times New Roman" w:ascii="Times New Roman" w:hAnsi="Times New Roman"/>
        </w:rPr>
        <w:t xml:space="preserve"> defects, GI-ROS</w:t>
      </w:r>
      <w:r>
        <w:rPr>
          <w:rFonts w:cs="Times New Roman" w:hint="eastAsia" w:ascii="Times New Roman" w:hAnsi="Times New Roman"/>
        </w:rPr>
        <w:t xml:space="preserve"> (</w:t>
      </w:r>
      <w:r>
        <w:rPr>
          <w:rFonts w:cs="Times New Roman" w:ascii="Times New Roman" w:hAnsi="Times New Roman"/>
        </w:rPr>
        <w:t>Gastrointestinal</w:t>
      </w:r>
      <w:r>
        <w:rPr>
          <w:rFonts w:cs="Times New Roman" w:hint="eastAsia" w:ascii="Times New Roman" w:hAnsi="Times New Roman"/>
        </w:rPr>
        <w:t>-</w:t>
      </w:r>
      <w:r>
        <w:rPr>
          <w:rFonts w:cs="Times New Roman" w:ascii="Times New Roman" w:hAnsi="Times New Roman"/>
        </w:rPr>
        <w:t>Reactive Oxygen Species</w:t>
      </w:r>
      <w:r>
        <w:rPr>
          <w:rFonts w:cs="Times New Roman" w:hint="eastAsia" w:ascii="Times New Roman" w:hAnsi="Times New Roman"/>
        </w:rPr>
        <w:t>)</w:t>
      </w:r>
      <w:r>
        <w:rPr>
          <w:rFonts w:cs="Times New Roman" w:ascii="Times New Roman" w:hAnsi="Times New Roman"/>
        </w:rPr>
        <w:t xml:space="preserve">, UV exposure, </w:t>
      </w:r>
      <w:r>
        <w:rPr>
          <w:rFonts w:cs="Times New Roman" w:hint="eastAsia" w:ascii="Times New Roman" w:hAnsi="Times New Roman"/>
        </w:rPr>
        <w:t>L</w:t>
      </w:r>
      <w:r>
        <w:rPr>
          <w:rFonts w:cs="Times New Roman" w:ascii="Times New Roman" w:hAnsi="Times New Roman"/>
        </w:rPr>
        <w:t>iver, HR</w:t>
      </w:r>
      <w:r>
        <w:rPr>
          <w:rFonts w:cs="Times New Roman" w:hint="eastAsia" w:ascii="Times New Roman" w:hAnsi="Times New Roman"/>
        </w:rPr>
        <w:t xml:space="preserve"> (</w:t>
      </w:r>
      <w:r>
        <w:rPr>
          <w:rFonts w:cs="Times New Roman" w:ascii="Times New Roman" w:hAnsi="Times New Roman"/>
        </w:rPr>
        <w:t>DNA homologous recombination repair</w:t>
      </w:r>
      <w:r>
        <w:rPr>
          <w:rFonts w:cs="Times New Roman" w:hint="eastAsia" w:ascii="Times New Roman" w:hAnsi="Times New Roman"/>
        </w:rPr>
        <w:t>)</w:t>
      </w:r>
      <w:r>
        <w:rPr>
          <w:rFonts w:cs="Times New Roman" w:ascii="Times New Roman" w:hAnsi="Times New Roman"/>
        </w:rPr>
        <w:t xml:space="preserve"> defects, and </w:t>
      </w:r>
      <w:r>
        <w:rPr>
          <w:rFonts w:cs="Times New Roman" w:hint="eastAsia" w:ascii="Times New Roman" w:hAnsi="Times New Roman"/>
        </w:rPr>
        <w:t>L</w:t>
      </w:r>
      <w:r>
        <w:rPr>
          <w:rFonts w:cs="Times New Roman" w:ascii="Times New Roman" w:hAnsi="Times New Roman"/>
        </w:rPr>
        <w:t>ung tobacco smoking. Each signature is annotated according to the cluster to which it belongs.</w:t>
      </w:r>
    </w:p>
    <w:p>
      <w:pPr>
        <w:pStyle w:val="Normal"/>
        <w:spacing w:lineRule="auto" w:line="360"/>
        <w:rPr>
          <w:rFonts w:ascii="Times New Roman" w:hAnsi="Times New Roman" w:cs="Times New Roman"/>
          <w:b/>
          <w:bCs/>
        </w:rPr>
      </w:pPr>
      <w:r>
        <w:rPr>
          <w:rFonts w:cs="Times New Roman" w:ascii="Times New Roman" w:hAnsi="Times New Roman"/>
          <w:b/>
          <w:bCs/>
        </w:rPr>
        <w:t>Figure 6. 8</w:t>
      </w:r>
      <w:r>
        <w:rPr>
          <w:rFonts w:cs="Times New Roman" w:hint="eastAsia" w:ascii="Times New Roman" w:hAnsi="Times New Roman"/>
          <w:b/>
          <w:bCs/>
        </w:rPr>
        <w:t>3-ty</w:t>
      </w:r>
      <w:r>
        <w:rPr>
          <w:rFonts w:cs="Times New Roman" w:ascii="Times New Roman" w:hAnsi="Times New Roman"/>
          <w:b/>
          <w:bCs/>
        </w:rPr>
        <w:t xml:space="preserve">pe mutational signatures asymmetries in strands, replication timing and DNA regions. </w:t>
      </w:r>
    </w:p>
    <w:p>
      <w:pPr>
        <w:pStyle w:val="Normal"/>
        <w:spacing w:lineRule="auto" w:line="240"/>
        <w:rPr>
          <w:rFonts w:ascii="Times New Roman" w:hAnsi="Times New Roman" w:cs="Times New Roman"/>
        </w:rPr>
      </w:pPr>
      <w:r>
        <w:rPr>
          <w:rFonts w:cs="Times New Roman" w:ascii="Times New Roman" w:hAnsi="Times New Roman"/>
        </w:rPr>
        <w:t>(A) Enrichment of mutations in genic and intergenic regions for 8</w:t>
      </w:r>
      <w:r>
        <w:rPr>
          <w:rFonts w:cs="Times New Roman" w:hint="eastAsia" w:ascii="Times New Roman" w:hAnsi="Times New Roman"/>
        </w:rPr>
        <w:t>3-ty</w:t>
      </w:r>
      <w:r>
        <w:rPr>
          <w:rFonts w:cs="Times New Roman" w:ascii="Times New Roman" w:hAnsi="Times New Roman"/>
        </w:rPr>
        <w:t>pe signatures. Each row represents one 8</w:t>
      </w:r>
      <w:r>
        <w:rPr>
          <w:rFonts w:cs="Times New Roman" w:hint="eastAsia" w:ascii="Times New Roman" w:hAnsi="Times New Roman"/>
        </w:rPr>
        <w:t>3-ty</w:t>
      </w:r>
      <w:r>
        <w:rPr>
          <w:rFonts w:cs="Times New Roman" w:ascii="Times New Roman" w:hAnsi="Times New Roman"/>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cs="Times New Roman" w:hint="eastAsia" w:ascii="Times New Roman" w:hAnsi="Times New Roman"/>
        </w:rPr>
        <w:t>Grey</w:t>
      </w:r>
      <w:r>
        <w:rPr>
          <w:rFonts w:cs="Times New Roman" w:ascii="Times New Roman" w:hAnsi="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rPr>
          <w:rFonts w:ascii="Times New Roman" w:hAnsi="Times New Roman" w:cs="Times New Roman"/>
        </w:rPr>
      </w:pPr>
      <w:r>
        <w:rPr>
          <w:rFonts w:cs="Times New Roman" w:ascii="Times New Roman" w:hAnsi="Times New Roman"/>
        </w:rPr>
        <w:t>(B) Replication strand asymmetries of 8</w:t>
      </w:r>
      <w:r>
        <w:rPr>
          <w:rFonts w:cs="Times New Roman" w:hint="eastAsia" w:ascii="Times New Roman" w:hAnsi="Times New Roman"/>
        </w:rPr>
        <w:t>3-ty</w:t>
      </w:r>
      <w:r>
        <w:rPr>
          <w:rFonts w:cs="Times New Roman" w:ascii="Times New Roman" w:hAnsi="Times New Roman"/>
        </w:rPr>
        <w:t>pe signatures. Data are presented in a format similar to the one in panel (A), with green and orange colors indicating replication strand asymmetries on the lagging and leading strands, respectively.</w:t>
      </w:r>
    </w:p>
    <w:p>
      <w:pPr>
        <w:pStyle w:val="Normal"/>
        <w:spacing w:lineRule="auto" w:line="240"/>
        <w:rPr>
          <w:rFonts w:ascii="Times New Roman" w:hAnsi="Times New Roman" w:cs="Times New Roman"/>
        </w:rPr>
      </w:pPr>
      <w:r>
        <w:rPr>
          <w:rFonts w:cs="Times New Roman" w:ascii="Times New Roman" w:hAnsi="Times New Roman"/>
        </w:rPr>
        <w:t>(C) Transcription strand asymmetries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Data are presented in a format similar to the one in panel (A), with red and dark blue colors indicating transcription strand asymmetries on the transcribed and untranscribed strands, respectively.</w:t>
      </w:r>
    </w:p>
    <w:p>
      <w:pPr>
        <w:pStyle w:val="Normal"/>
        <w:spacing w:lineRule="auto" w:line="240"/>
        <w:rPr>
          <w:rFonts w:ascii="Times New Roman" w:hAnsi="Times New Roman" w:cs="Times New Roman"/>
        </w:rPr>
      </w:pPr>
      <w:r>
        <w:rPr>
          <w:rFonts w:cs="Times New Roman" w:ascii="Times New Roman" w:hAnsi="Times New Roman"/>
        </w:rPr>
        <w:t>(D)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signatures associated with early and late replication timing. Mutation densities of 8</w:t>
      </w:r>
      <w:r>
        <w:rPr>
          <w:rFonts w:cs="Times New Roman" w:hint="eastAsia" w:ascii="Times New Roman" w:hAnsi="Times New Roman"/>
        </w:rPr>
        <w:t>3-ty</w:t>
      </w:r>
      <w:r>
        <w:rPr>
          <w:rFonts w:cs="Times New Roman" w:ascii="Times New Roman" w:hAnsi="Times New Roman"/>
        </w:rPr>
        <w:t>pe</w:t>
      </w:r>
      <w:r>
        <w:rPr>
          <w:rFonts w:cs="Times New Roman" w:ascii="Times New Roman" w:hAnsi="Times New Roman"/>
          <w:b/>
          <w:bCs/>
        </w:rPr>
        <w:t xml:space="preserve"> </w:t>
      </w:r>
      <w:r>
        <w:rPr>
          <w:rFonts w:cs="Times New Roman" w:ascii="Times New Roman" w:hAnsi="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showing inconsistent trend across cancer types(e.g., H_ID34). </w:t>
      </w:r>
    </w:p>
    <w:p>
      <w:pPr>
        <w:pStyle w:val="Normal"/>
        <w:rPr>
          <w:rFonts w:ascii="Times New Roman" w:hAnsi="Times New Roman" w:cs="Times New Roman"/>
          <w:b/>
          <w:bCs/>
        </w:rPr>
      </w:pPr>
      <w:r>
        <w:rPr>
          <w:rFonts w:cs="Times New Roman" w:hint="eastAsia" w:ascii="Times New Roman" w:hAnsi="Times New Roman"/>
          <w:b/>
          <w:bCs/>
        </w:rPr>
        <w:t>Figure 7 MSI-associated 83-type and 89-type signatures</w:t>
      </w:r>
    </w:p>
    <w:p>
      <w:pPr>
        <w:pStyle w:val="Normal"/>
        <w:rPr>
          <w:rFonts w:ascii="Times New Roman" w:hAnsi="Times New Roman" w:cs="Times New Roman"/>
        </w:rPr>
      </w:pPr>
      <w:r>
        <w:rPr>
          <w:rFonts w:cs="Times New Roman" w:hint="eastAsia" w:ascii="Times New Roman" w:hAnsi="Times New Roman"/>
        </w:rPr>
        <w:t xml:space="preserve">(A-E) The mutational signature profile of 12 </w:t>
      </w:r>
      <w:r>
        <w:rPr>
          <w:rFonts w:cs="Times New Roman" w:ascii="Times New Roman" w:hAnsi="Times New Roman"/>
        </w:rPr>
        <w:t>exclusively</w:t>
      </w:r>
      <w:r>
        <w:rPr>
          <w:rFonts w:cs="Times New Roman" w:hint="eastAsia" w:ascii="Times New Roman" w:hAnsi="Times New Roman"/>
        </w:rPr>
        <w:t xml:space="preserve"> MSI-associated signatures, including 6 83-type signatures (with C_ID7 reported in COSMIC) and 6 89-type signatures. (F) The activity of 7 MSI-associated signatures in MSS and MSI tumors identified in the literature or by MSI-Seq. MSI-H: Microsatellite Instability High; Non-MSI-H: Microsatellite Instability Low. (G) The proportion of sequence that removed in the MSI associated sigantures that dominated with deletions. </w:t>
      </w:r>
      <w:r>
        <w:rPr>
          <w:rFonts w:cs="Times New Roman" w:ascii="Times New Roman" w:hAnsi="Times New Roman"/>
        </w:rPr>
        <w:t>The vertical axis represents the proportion of different deletion patterns, while the horizontal axis indicates the sequence context of each deletion event.</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8</w:t>
      </w:r>
      <w:r>
        <w:rPr>
          <w:rFonts w:cs="Times New Roman" w:ascii="Times New Roman" w:hAnsi="Times New Roman"/>
          <w:b/>
          <w:bCs/>
        </w:rPr>
        <w:t xml:space="preserve"> </w:t>
      </w:r>
      <w:r>
        <w:rPr>
          <w:rFonts w:cs="Times New Roman" w:hint="eastAsia" w:ascii="Times New Roman" w:hAnsi="Times New Roman"/>
          <w:b/>
          <w:bCs/>
        </w:rPr>
        <w:t>Characterization of two novel signatures associated with TOP1-TAM</w:t>
      </w:r>
    </w:p>
    <w:p>
      <w:pPr>
        <w:pStyle w:val="Normal"/>
        <w:rPr>
          <w:rFonts w:ascii="Times New Roman" w:hAnsi="Times New Roman" w:cs="Times New Roman"/>
        </w:rPr>
      </w:pPr>
      <w:r>
        <w:rPr>
          <w:rFonts w:cs="Times New Roman" w:hint="eastAsia" w:ascii="Times New Roman" w:hAnsi="Times New Roman"/>
        </w:rPr>
        <w:t xml:space="preserve">(A) The mutational signature of TOP1-TAM (H_ID29, InsDel29), and a previously identified mutational </w:t>
      </w:r>
      <w:r>
        <w:rPr>
          <w:rFonts w:cs="Times New Roman" w:ascii="Times New Roman" w:hAnsi="Times New Roman"/>
        </w:rPr>
        <w:t>signature</w:t>
      </w:r>
      <w:r>
        <w:rPr>
          <w:rFonts w:cs="Times New Roman" w:hint="eastAsia" w:ascii="Times New Roman" w:hAnsi="Times New Roman"/>
        </w:rPr>
        <w:t xml:space="preserve"> C_ID4, and its 89-type representation InsDel4a; (B) RNASEH2B expression in wildtype cells and three RNASEH2B KO clones and the 83-type and 89-type mutation spectra of one RNASEH2B KO clone. In 83-type visualization, the INS:T:1:5+ and DEL:T:1:5+ were not displayed for a better view of the other channels; (C) The s</w:t>
      </w:r>
      <w:r>
        <w:rPr>
          <w:rFonts w:cs="Times New Roman" w:ascii="Times New Roman" w:hAnsi="Times New Roman"/>
        </w:rPr>
        <w:t>equence logo</w:t>
      </w:r>
      <w:r>
        <w:rPr>
          <w:rFonts w:cs="Times New Roman" w:hint="eastAsia" w:ascii="Times New Roman" w:hAnsi="Times New Roman"/>
        </w:rPr>
        <w:t xml:space="preserve"> of </w:t>
      </w:r>
      <w:r>
        <w:rPr>
          <w:rFonts w:cs="Times New Roman" w:ascii="Times New Roman" w:hAnsi="Times New Roman"/>
        </w:rPr>
        <w:t>two-bit representation of the sequence context of 2 bp deletions at</w:t>
      </w:r>
      <w:r>
        <w:rPr>
          <w:rFonts w:cs="Times New Roman" w:hint="eastAsia" w:ascii="Times New Roman" w:hAnsi="Times New Roman"/>
        </w:rPr>
        <w:t xml:space="preserve"> tandem repeats and 2bp deletions </w:t>
      </w:r>
      <w:r>
        <w:rPr>
          <w:rFonts w:cs="Times New Roman" w:ascii="Times New Roman" w:hAnsi="Times New Roman"/>
        </w:rPr>
        <w:t xml:space="preserve">with single-nucleotide </w:t>
      </w:r>
      <w:r>
        <w:rPr>
          <w:rFonts w:cs="Times New Roman" w:hint="eastAsia" w:ascii="Times New Roman" w:hAnsi="Times New Roman"/>
        </w:rPr>
        <w:t>microhomology in 5 samples with the highest H_ID29 activity or the highest C_ID4 activity. (D) The signature activity in the transcribed region and the untranscribed region of tumors and in vitro models including HEK293T, mouse, RPE1 and RPE1-WT.</w:t>
      </w:r>
    </w:p>
    <w:p>
      <w:pPr>
        <w:pStyle w:val="Normal"/>
        <w:rPr>
          <w:rFonts w:ascii="Times New Roman" w:hAnsi="Times New Roman" w:cs="Times New Roman"/>
          <w:b/>
          <w:bCs/>
        </w:rPr>
      </w:pPr>
      <w:r>
        <w:rPr>
          <w:rFonts w:cs="Times New Roman" w:ascii="Times New Roman" w:hAnsi="Times New Roman"/>
          <w:b/>
          <w:bCs/>
        </w:rPr>
        <w:t xml:space="preserve">Figure 9. Contribution of Indel </w:t>
      </w:r>
      <w:r>
        <w:rPr>
          <w:rFonts w:cs="Times New Roman" w:hint="eastAsia" w:ascii="Times New Roman" w:hAnsi="Times New Roman"/>
          <w:b/>
          <w:bCs/>
        </w:rPr>
        <w:t>m</w:t>
      </w:r>
      <w:r>
        <w:rPr>
          <w:rFonts w:cs="Times New Roman" w:ascii="Times New Roman" w:hAnsi="Times New Roman"/>
          <w:b/>
          <w:bCs/>
        </w:rPr>
        <w:t xml:space="preserve">utational </w:t>
      </w:r>
      <w:r>
        <w:rPr>
          <w:rFonts w:cs="Times New Roman" w:hint="eastAsia" w:ascii="Times New Roman" w:hAnsi="Times New Roman"/>
          <w:b/>
          <w:bCs/>
        </w:rPr>
        <w:t>s</w:t>
      </w:r>
      <w:r>
        <w:rPr>
          <w:rFonts w:cs="Times New Roman" w:ascii="Times New Roman" w:hAnsi="Times New Roman"/>
          <w:b/>
          <w:bCs/>
        </w:rPr>
        <w:t xml:space="preserve">ignatures to </w:t>
      </w:r>
      <w:r>
        <w:rPr>
          <w:rFonts w:cs="Times New Roman" w:hint="eastAsia" w:ascii="Times New Roman" w:hAnsi="Times New Roman"/>
          <w:b/>
          <w:bCs/>
        </w:rPr>
        <w:t>ca</w:t>
      </w:r>
      <w:r>
        <w:rPr>
          <w:rFonts w:cs="Times New Roman" w:ascii="Times New Roman" w:hAnsi="Times New Roman"/>
          <w:b/>
          <w:bCs/>
        </w:rPr>
        <w:t xml:space="preserve">ncer </w:t>
      </w:r>
      <w:r>
        <w:rPr>
          <w:rFonts w:cs="Times New Roman" w:hint="eastAsia" w:ascii="Times New Roman" w:hAnsi="Times New Roman"/>
          <w:b/>
          <w:bCs/>
        </w:rPr>
        <w:t>g</w:t>
      </w:r>
      <w:r>
        <w:rPr>
          <w:rFonts w:cs="Times New Roman" w:ascii="Times New Roman" w:hAnsi="Times New Roman"/>
          <w:b/>
          <w:bCs/>
        </w:rPr>
        <w:t xml:space="preserve">ene </w:t>
      </w:r>
      <w:r>
        <w:rPr>
          <w:rFonts w:cs="Times New Roman" w:hint="eastAsia" w:ascii="Times New Roman" w:hAnsi="Times New Roman"/>
          <w:b/>
          <w:bCs/>
        </w:rPr>
        <w:t>m</w:t>
      </w:r>
      <w:r>
        <w:rPr>
          <w:rFonts w:cs="Times New Roman" w:ascii="Times New Roman" w:hAnsi="Times New Roman"/>
          <w:b/>
          <w:bCs/>
        </w:rPr>
        <w:t>utations</w:t>
      </w:r>
    </w:p>
    <w:p>
      <w:pPr>
        <w:pStyle w:val="Normal"/>
        <w:spacing w:before="0" w:after="160"/>
        <w:rPr>
          <w:rFonts w:ascii="Times New Roman" w:hAnsi="Times New Roman" w:cs="Times New Roman"/>
        </w:rPr>
      </w:pPr>
      <w:r>
        <w:rPr>
          <w:rFonts w:cs="Times New Roman" w:ascii="Times New Roman" w:hAnsi="Times New Roman"/>
        </w:rPr>
        <w:t>Stacked bar plots illustrating the relative contributions of different indel mutational processes to mutations in genes listed in the Cancer Gene Census. The figure highlights the 30 most frequent indels for each category. For each plot, the horizontal axis represents the proportion of each mutational process, while the vertical axis displays the gene names alongside the corresponding mutation types. (A) Top 30 gene–deletion events in 83-type; (B) Top 30 gene–deletion events in 89-type; (C) Top 30 gene–insertion events in 83-type; (D) Top 30 gene–insertion events in 89-type. The specific signatures involved in each mutational process are detailed in Table S1</w:t>
      </w:r>
      <w:r>
        <w:rPr>
          <w:rFonts w:cs="Times New Roman" w:hint="eastAsia" w:ascii="Times New Roman" w:hAnsi="Times New Roman"/>
        </w:rPr>
        <w:t>5</w:t>
      </w:r>
      <w:r>
        <w:rPr>
          <w:rFonts w:cs="Times New Roman" w:ascii="Times New Roman" w:hAnsi="Times New Roman"/>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60"/>
  <w:defaultTabStop w:val="420"/>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78" w:before="0" w:after="16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b813c0"/>
    <w:pPr>
      <w:keepNext w:val="true"/>
      <w:keepLines/>
      <w:spacing w:before="480" w:after="80"/>
      <w:outlineLvl w:val="0"/>
    </w:pPr>
    <w:rPr>
      <w:rFonts w:ascii="等线 Light" w:hAnsi="等线 Light" w:eastAsia=""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b813c0"/>
    <w:pPr>
      <w:keepNext w:val="true"/>
      <w:keepLines/>
      <w:spacing w:before="160" w:after="80"/>
      <w:outlineLvl w:val="1"/>
    </w:pPr>
    <w:rPr>
      <w:rFonts w:ascii="等线 Light" w:hAnsi="等线 Light" w:eastAsia=""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b813c0"/>
    <w:pPr>
      <w:keepNext w:val="true"/>
      <w:keepLines/>
      <w:spacing w:before="160" w:after="80"/>
      <w:outlineLvl w:val="2"/>
    </w:pPr>
    <w:rPr>
      <w:rFonts w:ascii="等线 Light" w:hAnsi="等线 Light" w:eastAsia=""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b813c0"/>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b813c0"/>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b813c0"/>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b813c0"/>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b813c0"/>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b813c0"/>
    <w:pPr>
      <w:keepNext w:val="true"/>
      <w:keepLines/>
      <w:spacing w:before="0" w:after="0"/>
      <w:outlineLvl w:val="8"/>
    </w:pPr>
    <w:rPr>
      <w:rFonts w:eastAsia=""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3c0"/>
    <w:rPr>
      <w:rFonts w:ascii="等线 Light" w:hAnsi="等线 Light" w:eastAsia=""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b813c0"/>
    <w:rPr>
      <w:rFonts w:ascii="等线 Light" w:hAnsi="等线 Light"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b813c0"/>
    <w:rPr>
      <w:rFonts w:ascii="等线 Light" w:hAnsi="等线 Light" w:eastAsia=""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b813c0"/>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b813c0"/>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b813c0"/>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b813c0"/>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b813c0"/>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b813c0"/>
    <w:rPr>
      <w:rFonts w:eastAsia="" w:cs="" w:cstheme="majorBidi" w:eastAsiaTheme="majorEastAsia"/>
      <w:color w:themeColor="text1" w:themeTint="a6" w:val="595959"/>
    </w:rPr>
  </w:style>
  <w:style w:type="character" w:styleId="TitleChar" w:customStyle="1">
    <w:name w:val="Title Char"/>
    <w:basedOn w:val="DefaultParagraphFont"/>
    <w:link w:val="Title"/>
    <w:uiPriority w:val="10"/>
    <w:qFormat/>
    <w:rsid w:val="00b813c0"/>
    <w:rPr>
      <w:rFonts w:ascii="等线 Light" w:hAnsi="等线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813c0"/>
    <w:rPr>
      <w:rFonts w:ascii="等线 Light" w:hAnsi="等线 Light" w:eastAsia=""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b813c0"/>
    <w:rPr>
      <w:i/>
      <w:iCs/>
      <w:color w:themeColor="text1" w:themeTint="bf" w:val="404040"/>
    </w:rPr>
  </w:style>
  <w:style w:type="character" w:styleId="IntenseEmphasis">
    <w:name w:val="Intense Emphasis"/>
    <w:basedOn w:val="DefaultParagraphFont"/>
    <w:uiPriority w:val="21"/>
    <w:qFormat/>
    <w:rsid w:val="00b813c0"/>
    <w:rPr>
      <w:i/>
      <w:iCs/>
      <w:color w:themeColor="accent1" w:themeShade="bf" w:val="0F4761"/>
    </w:rPr>
  </w:style>
  <w:style w:type="character" w:styleId="IntenseQuoteChar" w:customStyle="1">
    <w:name w:val="Intense Quote Char"/>
    <w:basedOn w:val="DefaultParagraphFont"/>
    <w:link w:val="IntenseQuote"/>
    <w:uiPriority w:val="30"/>
    <w:qFormat/>
    <w:rsid w:val="00b813c0"/>
    <w:rPr>
      <w:i/>
      <w:iCs/>
      <w:color w:themeColor="accent1" w:themeShade="bf" w:val="0F4761"/>
    </w:rPr>
  </w:style>
  <w:style w:type="character" w:styleId="IntenseReference">
    <w:name w:val="Intense Reference"/>
    <w:basedOn w:val="DefaultParagraphFont"/>
    <w:uiPriority w:val="32"/>
    <w:qFormat/>
    <w:rsid w:val="00b813c0"/>
    <w:rPr>
      <w:b/>
      <w:bCs/>
      <w:smallCaps/>
      <w:color w:themeColor="accent1" w:themeShade="bf" w:val="0F4761"/>
      <w:spacing w:val="5"/>
    </w:rPr>
  </w:style>
  <w:style w:type="character" w:styleId="HeaderChar" w:customStyle="1">
    <w:name w:val="Header Char"/>
    <w:basedOn w:val="DefaultParagraphFont"/>
    <w:link w:val="Header"/>
    <w:uiPriority w:val="99"/>
    <w:qFormat/>
    <w:rsid w:val="009a4484"/>
    <w:rPr>
      <w:sz w:val="18"/>
      <w:szCs w:val="18"/>
    </w:rPr>
  </w:style>
  <w:style w:type="character" w:styleId="FooterChar" w:customStyle="1">
    <w:name w:val="Footer Char"/>
    <w:basedOn w:val="DefaultParagraphFont"/>
    <w:link w:val="Footer"/>
    <w:uiPriority w:val="99"/>
    <w:qFormat/>
    <w:rsid w:val="009a4484"/>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lineRule="auto" w:line="240" w:before="0" w:after="80"/>
      <w:contextualSpacing/>
      <w:jc w:val="center"/>
    </w:pPr>
    <w:rPr>
      <w:rFonts w:ascii="等线 Light" w:hAnsi="等线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813c0"/>
    <w:pPr>
      <w:jc w:val="center"/>
    </w:pPr>
    <w:rPr>
      <w:rFonts w:ascii="等线 Light" w:hAnsi="等线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b813c0"/>
    <w:pPr>
      <w:spacing w:before="160" w:after="160"/>
      <w:jc w:val="center"/>
    </w:pPr>
    <w:rPr>
      <w:i/>
      <w:iCs/>
      <w:color w:themeColor="text1" w:themeTint="bf" w:val="404040"/>
    </w:rPr>
  </w:style>
  <w:style w:type="paragraph" w:styleId="ListParagraph">
    <w:name w:val="List Paragraph"/>
    <w:basedOn w:val="Normal"/>
    <w:uiPriority w:val="34"/>
    <w:qFormat/>
    <w:rsid w:val="00b813c0"/>
    <w:pPr>
      <w:spacing w:before="0" w:after="160"/>
      <w:ind w:start="720"/>
      <w:contextualSpacing/>
    </w:pPr>
    <w:r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a448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9a4484"/>
    <w:pPr>
      <w:tabs>
        <w:tab w:val="clear" w:pos="420"/>
        <w:tab w:val="center" w:pos="4153" w:leader="none"/>
        <w:tab w:val="right" w:pos="8306" w:leader="none"/>
      </w:tabs>
      <w:snapToGrid w:val="false"/>
      <w:spacing w:lineRule="auto" w:line="240"/>
    </w:pPr>
    <w:rPr>
      <w:sz w:val="18"/>
      <w:szCs w:val="18"/>
    </w:rPr>
  </w:style>
  <w:style w:type="paragraph" w:styleId="Revision">
    <w:name w:val="Revision"/>
    <w:uiPriority w:val="99"/>
    <w:semiHidden/>
    <w:qFormat/>
    <w:rsid w:val="00200066"/>
    <w:pPr>
      <w:widowControl/>
      <w:suppressAutoHyphens w:val="true"/>
      <w:bidi w:val="0"/>
      <w:spacing w:lineRule="auto" w:line="240" w:before="0" w:after="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687</TotalTime>
  <Application>LibreOffice/26.2.2.2$Linux_X86_64 LibreOffice_project/620$Build-2</Application>
  <AppVersion>15.0000</AppVersion>
  <Pages>5</Pages>
  <Words>1403</Words>
  <Characters>8069</Characters>
  <CharactersWithSpaces>9449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2025-09-08T07:39:00Z</dcterms:created>
  <dc:creator>Mo Liu</dc:creator>
  <dc:description/>
  <dc:language>en-US</dc:language>
  <cp:lastModifiedBy/>
  <dcterms:modified xsi:type="dcterms:W3CDTF">2026-04-22T22:19:18Z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