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rFonts w:hint="eastAsia"/>
        </w:rPr>
        <w:t>Old Long 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pPr>
        <w:pStyle w:val="normalfirst"/>
        <w:rPr/>
      </w:pPr>
      <w:r>
        <w:rPr/>
      </w:r>
    </w:p>
    <w:p>
      <w:pPr>
        <w:pStyle w:val="normalfirst"/>
        <w:rPr/>
      </w:pPr>
      <w:r>
        <w:rPr/>
        <w:t>(Currently 249 words)</w:t>
      </w:r>
    </w:p>
    <w:p>
      <w:pPr>
        <w:pStyle w:val="normalfirst"/>
        <w:rPr/>
      </w:pPr>
      <w:r>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 xml:space="preserve">(Figure 1, Table </w:t>
      </w:r>
      <w:r>
        <w:rPr>
          <w:shd w:fill="00FFFF" w:val="clear"/>
        </w:rPr>
        <w:t>S</w:t>
      </w:r>
      <w:r>
        <w:rPr>
          <w:shd w:fill="00FFFF" w:val="clear"/>
        </w:rPr>
        <w:t>&lt;</w:t>
      </w:r>
      <w:r>
        <w:rPr>
          <w:shd w:fill="00FFFF" w:val="clear"/>
        </w:rPr>
        <w:t>rosetta stone&gt;</w:t>
      </w:r>
      <w:r>
        <w:rPr>
          <w:shd w:fill="00FFFF" w:val="clear"/>
        </w:rPr>
        <w:t>)</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w:t>
      </w:r>
      <w:r>
        <w:rPr>
          <w:shd w:fill="auto" w:val="clear"/>
        </w:rPr>
        <w:t xml:space="preserve"> The </w:t>
      </w:r>
      <w:r>
        <w:rPr>
          <w:shd w:fill="auto" w:val="clear"/>
        </w:rPr>
        <w:t>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intutive.</w:t>
      </w:r>
      <w:r>
        <w:rPr>
          <w:shd w:fill="FFFF00" w:val="clear"/>
        </w:rPr>
        <w:t xml:space="preserve"> </w:t>
      </w:r>
      <w:r>
        <w:rPr>
          <w:shd w:fill="00FFFF" w:val="clear"/>
        </w:rPr>
        <w:t xml:space="preserve">Table </w:t>
      </w:r>
      <w:r>
        <w:rPr>
          <w:shd w:fill="00FFFF" w:val="clear"/>
        </w:rPr>
        <w:t>S</w:t>
      </w:r>
      <w:r>
        <w:rPr>
          <w:shd w:fill="00FFFF" w:val="clear"/>
        </w:rPr>
        <w:t>&lt;rosetta stone&gt;</w:t>
      </w:r>
      <w:r>
        <w:rPr>
          <w:shd w:fill="auto" w:val="clear"/>
        </w:rPr>
        <w:t xml:space="preserve"> provides a mapping from the 476-type classification to the 89 and 83-type classifications, as well as as mutliple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t>
      </w:r>
      <w:r>
        <w:rPr/>
        <w:t>We used</w:t>
      </w:r>
      <w:r>
        <w:rPr/>
        <w:t xml:space="preserve"> tumor samples </w:t>
      </w:r>
      <w:r>
        <w:rPr/>
        <w:t>with spectra dominated by single signatures</w:t>
      </w:r>
      <w:r>
        <w:rPr/>
        <w:t xml:space="preserve"> signatures </w:t>
      </w:r>
      <w:r>
        <w:rPr/>
        <w:t>to map</w:t>
      </w:r>
      <w:r>
        <w:rPr/>
        <w:t xml:space="preserve"> signatures </w:t>
      </w:r>
      <w:r>
        <w:rPr/>
        <w:t>in</w:t>
      </w:r>
      <w:r>
        <w:rPr/>
        <w:t xml:space="preserve"> the 83-type classification to signatures in the other two classifications. We further profiled </w:t>
      </w:r>
      <w:r>
        <w:rPr/>
        <w:t>signatures’</w:t>
      </w:r>
      <w:r>
        <w:rPr/>
        <w:t xml:space="preserv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w:t>
      </w:r>
      <w:r>
        <w:rPr/>
        <w:t>s</w:t>
      </w:r>
      <w:r>
        <w:rPr/>
        <w:t xml:space="preserve">, providing insights into mutational processes </w:t>
      </w:r>
      <w:r>
        <w:rPr/>
        <w:t>underlying the signatures</w:t>
      </w:r>
      <w:r>
        <w:rPr/>
        <w:t xml:space="preserve">. We also tallied </w:t>
      </w:r>
      <w:r>
        <w:rPr/>
        <w:t>indel signature</w:t>
      </w:r>
      <w:r>
        <w:rPr>
          <w:shd w:fill="FFFF00" w:val="clear"/>
        </w:rPr>
        <w:t xml:space="preserve"> associations to SBSs and to sex within </w:t>
      </w:r>
      <w:r>
        <w:rPr>
          <w:shd w:fill="FFFF00" w:val="clear"/>
        </w:rPr>
        <w:t>individual</w:t>
      </w:r>
      <w:r>
        <w:rPr>
          <w:shd w:fill="FFFF00" w:val="clear"/>
        </w:rPr>
        <w:t xml:space="preserve"> cancer type</w:t>
      </w:r>
      <w:r>
        <w:rPr>
          <w:shd w:fill="FFFF00" w:val="clear"/>
        </w:rPr>
        <w:t>s</w:t>
      </w:r>
      <w:r>
        <w:rPr>
          <w:shd w:fill="FFFF00" w:val="clear"/>
        </w:rPr>
        <w:t xml:space="preserve">. </w:t>
      </w:r>
      <w:r>
        <w:rPr>
          <w:shd w:fill="FFFF00" w:val="clear"/>
        </w:rPr>
        <w:t>Finally, i</w:t>
      </w:r>
      <w:r>
        <w:rPr>
          <w:shd w:fill="FFFF00" w:val="clear"/>
        </w:rPr>
        <w:t xml:space="preserve">n addition to the supplementary information provided here, we </w:t>
      </w:r>
      <w:r>
        <w:rPr>
          <w:shd w:fill="FFFF00" w:val="clear"/>
        </w:rPr>
        <w:t>provide</w:t>
      </w:r>
      <w:r>
        <w:rPr>
          <w:shd w:fill="FFFF00" w:val="clear"/>
        </w:rPr>
        <w:t xml:space="preserve"> a web site </w:t>
      </w:r>
      <w:r>
        <w:rPr>
          <w:shd w:fill="00FFFF" w:val="clear"/>
        </w:rPr>
        <w:t xml:space="preserve">xxxxxxxxxx </w:t>
      </w:r>
      <w:r>
        <w:rPr>
          <w:shd w:fill="FFFF00" w:val="clear"/>
        </w:rPr>
        <w:t>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w:t>
      </w:r>
      <w:r>
        <w:rPr>
          <w:shd w:fill="auto" w:val="clear"/>
        </w:rPr>
        <w:t>es</w:t>
      </w:r>
      <w:r>
        <w:rPr>
          <w:shd w:fill="auto" w:val="clear"/>
        </w:rPr>
        <w:t xml:space="preserve"> </w:t>
      </w:r>
      <w:r>
        <w:rPr>
          <w:shd w:fill="auto" w:val="clear"/>
        </w:rPr>
        <w:t xml:space="preserve">using a method based on hierarchical Dirichlet processes  </w:t>
      </w:r>
      <w:bookmarkStart w:id="13" w:name="ZOTERO_BREF_sXKgi2ptdMXh"/>
      <w:r>
        <w:rPr>
          <w:shd w:fill="auto" w:val="clear"/>
        </w:rPr>
        <w:t>(Liu et al. 2023)</w:t>
      </w:r>
      <w:bookmarkEnd w:id="13"/>
      <w:r>
        <w:rPr>
          <w:shd w:fill="auto" w:val="clear"/>
        </w:rPr>
        <w:t xml:space="preserve">, and </w:t>
      </w:r>
      <w:r>
        <w:rPr/>
        <w:t xml:space="preserve">a method based on non-negative matrix factorization </w:t>
      </w:r>
      <w:bookmarkStart w:id="14" w:name="ZOTERO_BREF_Ax2rB3g50il2"/>
      <w:r>
        <w:rPr/>
        <w:t>(Islam et al. 2022)</w:t>
      </w:r>
      <w:bookmarkEnd w:id="14"/>
      <w:r>
        <w:rPr/>
        <w:t>.</w:t>
      </w:r>
      <w:commentRangeStart w:id="0"/>
      <w:commentRangeStart w:id="1"/>
      <w:commentRangeStart w:id="2"/>
      <w:r>
        <w:rPr/>
        <w:t xml:space="preserve"> The extracted signatures were broadly consistent between the two methods </w:t>
      </w:r>
      <w:r>
        <w:rPr>
          <w:shd w:fill="FFFF00" w:val="clear"/>
        </w:rPr>
        <w:t xml:space="preserve">(reference table 1, shiny app, our vignette), </w:t>
      </w:r>
      <w:r>
        <w:rPr/>
        <w:t>W</w:t>
      </w:r>
      <w:r>
        <w:rPr/>
      </w:r>
      <w:commentRangeEnd w:id="2"/>
      <w:r>
        <w:commentReference w:id="2"/>
      </w:r>
      <w:r>
        <w:rPr/>
      </w:r>
      <w:commentRangeEnd w:id="1"/>
      <w:r>
        <w:commentReference w:id="1"/>
      </w:r>
      <w:r>
        <w:rPr/>
      </w:r>
      <w:commentRangeEnd w:id="0"/>
      <w:r>
        <w:commentReference w:id="0"/>
      </w:r>
      <w:r>
        <w:rP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w:t>
      </w:r>
      <w:r>
        <w:rPr/>
        <w:t xml:space="preserve">an additional </w:t>
      </w:r>
      <w:r>
        <w:rPr/>
        <w:t xml:space="preserve">3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00FFFF" w:val="clear"/>
        </w:rPr>
        <w:t>(Table S&lt;rosetta stone&gt;)</w:t>
      </w:r>
      <w:r>
        <w:rPr/>
        <w:t xml:space="preserve">, we used tumor mutational spectra dominated by individual signatures to </w:t>
      </w:r>
      <w:r>
        <w:rPr/>
        <w:t>systematically</w:t>
      </w:r>
      <w:r>
        <w:rPr/>
        <w:t xml:space="preserve"> elucidate correspondences between signatures </w:t>
      </w:r>
      <w:r>
        <w:rPr/>
        <w:t>in these classifiation schemes</w:t>
      </w:r>
      <w:r>
        <w:rPr/>
        <w:t xml:space="preserve">.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w:t>
      </w:r>
    </w:p>
    <w:p>
      <w:pPr>
        <w:pStyle w:val="normalfirst"/>
        <w:ind w:firstLine="720"/>
        <w:rPr>
          <w:shd w:fill="FFFF00" w:val="clear"/>
        </w:rPr>
      </w:pPr>
      <w:r>
        <w:rPr>
          <w:shd w:fill="FFFF00" w:val="clear"/>
        </w:rPr>
      </w:r>
    </w:p>
    <w:p>
      <w:pPr>
        <w:pStyle w:val="normalfirst"/>
        <w:ind w:hanging="0" w:start="0"/>
        <w:rPr>
          <w:shd w:fill="FFFF00" w:val="clear"/>
        </w:rPr>
      </w:pPr>
      <w:r>
        <w:rPr>
          <w:shd w:fill="FFFF00" w:val="clear"/>
        </w:rPr>
        <w:t>&lt;steve write up examples&gt;</w:t>
      </w:r>
    </w:p>
    <w:p>
      <w:pPr>
        <w:pStyle w:val="normalfirst"/>
        <w:ind w:hanging="0" w:start="0"/>
        <w:rPr>
          <w:shd w:fill="FFFF00" w:val="clear"/>
        </w:rPr>
      </w:pPr>
      <w:r>
        <w:rPr>
          <w:shd w:fill="FFFF00" w:val="clear"/>
        </w:rPr>
        <w:t xml:space="preserve">3a (bladder) and 3b (lung/liver well known; bladder new finding); </w:t>
      </w:r>
      <w:r>
        <w:rPr>
          <w:shd w:fill="FFFF00" w:val="clear"/>
        </w:rPr>
        <w:t>maybe not a good example; 3a is arguably a new signature in the 83 type system; linking tumor cosine sime to C_ID3 is only 0.8478.</w:t>
      </w:r>
    </w:p>
    <w:p>
      <w:pPr>
        <w:pStyle w:val="normalfirst"/>
        <w:ind w:hanging="0" w:start="0"/>
        <w:rPr>
          <w:shd w:fill="FFFF00" w:val="clear"/>
        </w:rPr>
      </w:pPr>
      <w:r>
        <w:rPr>
          <w:shd w:fill="FFFF00" w:val="clear"/>
        </w:rPr>
        <w:t xml:space="preserve">19a 19b; </w:t>
      </w:r>
      <w:r>
        <w:rPr>
          <w:shd w:fill="FFFF00" w:val="clear"/>
        </w:rPr>
        <w:t xml:space="preserve">similar problem; linking tumor has 0.5483 similarity to C_ID19 </w:t>
      </w:r>
    </w:p>
    <w:p>
      <w:pPr>
        <w:pStyle w:val="normalfirst"/>
        <w:ind w:hanging="0" w:start="0"/>
        <w:rPr>
          <w:shd w:fill="FFFF00" w:val="clear"/>
        </w:rPr>
      </w:pPr>
      <w:r>
        <w:rPr>
          <w:shd w:fill="FFFF00" w:val="clear"/>
        </w:rPr>
        <w:t xml:space="preserve">A_alpha,A_beta&gt;  </w:t>
      </w:r>
      <w:r>
        <w:rPr>
          <w:shd w:fill="FFFF00" w:val="clear"/>
        </w:rPr>
        <w:t>analogous problem</w:t>
      </w:r>
    </w:p>
    <w:p>
      <w:pPr>
        <w:pStyle w:val="normalfirst"/>
        <w:ind w:hanging="0" w:start="0"/>
        <w:rPr>
          <w:shd w:fill="FFFF00" w:val="clear"/>
        </w:rPr>
      </w:pPr>
      <w:r>
        <w:rPr>
          <w:shd w:fill="FFFF00" w:val="clear"/>
        </w:rPr>
        <w:t>5 analogous problem</w:t>
      </w:r>
    </w:p>
    <w:p>
      <w:pPr>
        <w:pStyle w:val="normalfirst"/>
        <w:ind w:hanging="0" w:start="0"/>
        <w:rPr>
          <w:shd w:fill="FFFF00" w:val="clear"/>
        </w:rPr>
      </w:pPr>
      <w:r>
        <w:rPr>
          <w:shd w:fill="FFFF00" w:val="clear"/>
        </w:rPr>
        <w:t>N alpha N beta ; this is a good example but needs a larger discussion because N is new in the 83type classification too</w:t>
      </w:r>
    </w:p>
    <w:p>
      <w:pPr>
        <w:pStyle w:val="normalfirst"/>
        <w:ind w:hanging="0" w:start="0"/>
        <w:rPr>
          <w:shd w:fill="FFFF00" w:val="clear"/>
        </w:rPr>
      </w:pPr>
      <w:r>
        <w:rPr>
          <w:shd w:fill="FFFF00" w:val="clear"/>
        </w:rPr>
        <w:t>1?</w:t>
      </w:r>
    </w:p>
    <w:p>
      <w:pPr>
        <w:pStyle w:val="normalfirst"/>
        <w:ind w:hanging="0" w:start="0"/>
        <w:rPr>
          <w:shd w:fill="FFFF00" w:val="clear"/>
        </w:rPr>
      </w:pPr>
      <w:r>
        <w:rPr>
          <w:shd w:fill="FFFF00" w:val="clear"/>
        </w:rPr>
        <w:t>2?</w:t>
      </w:r>
    </w:p>
    <w:p>
      <w:pPr>
        <w:pStyle w:val="normalfirst"/>
        <w:ind w:hanging="0" w:start="0"/>
        <w:rPr>
          <w:shd w:fill="FFFF00" w:val="clear"/>
        </w:rPr>
      </w:pPr>
      <w:r>
        <w:rPr>
          <w:shd w:fill="FFFF00" w:val="clear"/>
        </w:rPr>
      </w:r>
    </w:p>
    <w:p>
      <w:pPr>
        <w:pStyle w:val="normalfirst"/>
        <w:ind w:hanging="0" w:start="0"/>
        <w:rPr>
          <w:shd w:fill="FFFF00" w:val="clear"/>
        </w:rPr>
      </w:pPr>
      <w:r>
        <w:rPr>
          <w:shd w:fill="FFFF00" w:val="clear"/>
        </w:rPr>
      </w:r>
    </w:p>
    <w:p>
      <w:pPr>
        <w:pStyle w:val="normalfirst"/>
        <w:ind w:hanging="0" w:start="0"/>
        <w:rPr>
          <w:shd w:fill="FFFF00" w:val="clear"/>
        </w:rPr>
      </w:pPr>
      <w:r>
        <w:rPr>
          <w:shd w:fill="FFFF00" w:val="clear"/>
        </w:rPr>
        <w:t>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t>
      </w:r>
      <w:r>
        <w:rPr/>
        <w:t>clearly differentiated</w:t>
      </w:r>
      <w:r>
        <w:rPr/>
        <w:t xml:space="preserve"> signatures that were </w:t>
      </w:r>
      <w:r>
        <w:rPr/>
        <w:t>almost identical</w:t>
      </w:r>
      <w:r>
        <w:rPr/>
        <w:t xml:space="preserve"> the 89-type system. </w:t>
      </w:r>
      <w:r>
        <w:rPr/>
        <w:t xml:space="preserve">One case consisted of InsDel13 and C with are nearly identical in </w:t>
      </w:r>
      <w:r>
        <w:rPr/>
        <w:t xml:space="preserve">the 89-type system </w:t>
      </w:r>
      <w:r>
        <w:rPr/>
        <w:t xml:space="preserve">because it </w:t>
      </w:r>
      <w:r>
        <w:rPr/>
        <w:t>combines deletion of single Ts in stretches of 1, 2, 3, or 4 Ts. However the 83 and 476 type systems show that InsDelC has deletions of 1 T from ATA (ATA→AA), while InsDel13 as deletions of T from ATTA (ATTA→ATA).</w:t>
      </w:r>
      <w:r>
        <w:rPr>
          <w:rFonts w:eastAsia="宋体" w:hint="eastAsia"/>
          <w:shd w:fill="00FFFF" w:val="clear"/>
        </w:rPr>
        <w:t xml:space="preserve"> Figure SX.</w:t>
      </w:r>
      <w:r>
        <w:rPr>
          <w:rFonts w:eastAsia="宋体" w:hint="eastAsia"/>
          <w:shd w:fill="auto" w:val="clear"/>
        </w:rPr>
        <w:t xml:space="preserve"> </w:t>
      </w:r>
      <w:r>
        <w:rPr>
          <w:rFonts w:eastAsia="宋体" w:hint="eastAsia"/>
          <w:shd w:fill="auto" w:val="clear"/>
        </w:rPr>
        <w:t>The case consisted of I</w:t>
      </w:r>
      <w:r>
        <w:rPr/>
        <w:t xml:space="preserve">nsDel11 and InsDel16. InsDel11 </w:t>
      </w:r>
      <w:r>
        <w:rPr/>
        <w:t>has</w:t>
      </w:r>
      <w:r>
        <w:rPr/>
        <w:t xml:space="preserve"> insertions of one C next to an isolated C (C with non-Cs on each side, e.g. ACG→ACCG) and insertion of a one T next to an isolated T (e.g. GTG→GTTG), </w:t>
      </w:r>
      <w:r>
        <w:rPr/>
        <w:t>while</w:t>
      </w:r>
      <w:r>
        <w:rPr/>
        <w:t xml:space="preserve"> InsDel16, has insertion of one C between non-Cs (e.g. AT→ ACT), and insertion of one T between non-Ts (e.g. AG→ATG). </w:t>
      </w:r>
      <w:r>
        <w:rPr>
          <w:rFonts w:eastAsia="宋体" w:hint="eastAsia"/>
          <w:shd w:fill="00FFFF" w:val="clear"/>
        </w:rPr>
        <w:t xml:space="preserve">Figure SX. </w:t>
      </w:r>
      <w:r>
        <w:rPr>
          <w:rFonts w:eastAsia="宋体" w:hint="eastAsia"/>
          <w:shd w:fill="auto" w:val="clear"/>
        </w:rPr>
        <w:t>Again, the 89-type sytem does not capture these differences, while the 83 and 476-type systems do</w:t>
      </w:r>
    </w:p>
    <w:p>
      <w:pPr>
        <w:pStyle w:val="normalfirst"/>
        <w:rPr>
          <w:b/>
          <w:bCs/>
          <w:i/>
          <w:iCs/>
        </w:rPr>
      </w:pPr>
      <w:r>
        <w:rPr>
          <w:b/>
          <w:bCs/>
          <w:i/>
          <w:iCs/>
        </w:rPr>
        <w:t>Signature assignments</w:t>
      </w:r>
    </w:p>
    <w:p>
      <w:pPr>
        <w:pStyle w:val="normalfirst"/>
        <w:rPr>
          <w:b/>
          <w:bCs/>
          <w:i/>
          <w:iCs/>
        </w:rPr>
      </w:pPr>
      <w:r>
        <w:rPr>
          <w:b/>
          <w:bCs/>
          <w:i/>
          <w:iCs/>
        </w:rPr>
        <w:t>&lt;</w:t>
      </w:r>
      <w:r>
        <w:rPr>
          <w:b/>
          <w:bCs/>
          <w:i/>
          <w:iCs/>
        </w:rPr>
        <w:t>Mo to fill in?&gt;</w:t>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 xml:space="preserve">One example of </w:t>
      </w:r>
      <w:r>
        <w:rPr/>
        <w:t>the b</w:t>
      </w:r>
      <w:r>
        <w:rPr/>
        <w:t xml:space="preserve">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A→T single base substitutions in the AA SBS signature and of the frequent involvement of adenines in the AA DBS signatures </w:t>
      </w:r>
      <w:r>
        <w:rPr>
          <w:shd w:fill="00FFFF" w:val="clear"/>
        </w:rPr>
        <w:t>&lt;</w:t>
      </w:r>
      <w:r>
        <w:rPr>
          <w:shd w:fill="00FFFF" w:val="clear"/>
        </w:rPr>
        <w:t>cite chinese liver hcc paper&gt;</w:t>
      </w:r>
      <w:r>
        <w:rPr/>
        <w:t>.</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3">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4">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3"/>
      <w:r>
        <w:rPr>
          <w:shd w:fill="FFFF00" w:val="clear"/>
        </w:rPr>
        <w:t>Maybe say B is clock-like</w:t>
      </w:r>
      <w:r>
        <w:rPr>
          <w:shd w:fill="FFFF00" w:val="clear"/>
        </w:rPr>
      </w:r>
      <w:commentRangeEnd w:id="3"/>
      <w:r>
        <w:commentReference w:id="3"/>
      </w:r>
      <w:r>
        <w:rPr>
          <w:shd w:fill="FFFF00" w:val="clear"/>
        </w:rPr>
        <w:t>&gt;</w:t>
      </w:r>
    </w:p>
    <w:p>
      <w:pPr>
        <w:pStyle w:val="Normal"/>
        <w:rPr/>
      </w:pPr>
      <w:commentRangeStart w:id="4"/>
      <w:r>
        <w:rPr/>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Pr/>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commentRangeEnd w:id="4"/>
      <w:r>
        <w:commentReference w:id="4"/>
      </w:r>
      <w:r>
        <w:rPr/>
      </w:r>
    </w:p>
    <w:p>
      <w:pPr>
        <w:pStyle w:val="Heading3"/>
        <w:numPr>
          <w:ilvl w:val="0"/>
          <w:numId w:val="0"/>
        </w:numPr>
        <w:ind w:hanging="0" w:start="0"/>
        <w:rPr>
          <w:i/>
          <w:iCs/>
          <w:sz w:val="24"/>
          <w:szCs w:val="24"/>
        </w:rPr>
      </w:pPr>
      <w:commentRangeStart w:id="5"/>
      <w:r>
        <w:rPr>
          <w:i/>
          <w:iCs/>
          <w:sz w:val="24"/>
          <w:szCs w:val="24"/>
        </w:rPr>
        <w:t>Associations between indel signatures and SBS signatures</w:t>
      </w:r>
      <w:commentRangeEnd w:id="5"/>
      <w:r>
        <w:commentReference w:id="5"/>
      </w:r>
      <w:r>
        <w:rPr>
          <w:i/>
          <w:iCs/>
          <w:sz w:val="24"/>
          <w:szCs w:val="24"/>
        </w:rPr>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pPr>
        <w:pStyle w:val="Normal"/>
        <w:rPr/>
      </w:pPr>
      <w:r>
        <w:rPr/>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6"/>
      <w:r>
        <w:rPr/>
        <w:t xml:space="preserve"> C_ID14 (</w:t>
      </w:r>
      <w:r>
        <w:rPr>
          <w:rFonts w:hint="eastAsia"/>
        </w:rPr>
        <w:t>SBS93 correlated</w:t>
      </w:r>
      <w:r>
        <w:rPr/>
        <w:t>)</w:t>
      </w:r>
      <w:r>
        <w:rPr/>
      </w:r>
      <w:commentRangeEnd w:id="6"/>
      <w:r>
        <w:commentReference w:id="6"/>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7"/>
      <w:r>
        <w:rPr/>
        <w:t>Demographic Associations</w:t>
      </w:r>
      <w:r>
        <w:rPr>
          <w:rFonts w:eastAsia="宋体" w:hint="eastAsia"/>
        </w:rPr>
        <w:t xml:space="preserve"> with Gender and Age</w:t>
      </w:r>
      <w:commentRangeEnd w:id="7"/>
      <w:r>
        <w:commentReference w:id="7"/>
      </w:r>
      <w:r>
        <w:rPr>
          <w:rFonts w:eastAsia="宋体" w:hint="eastAsia"/>
        </w:rPr>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(Table SX)</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7">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8"/>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8"/>
      <w:r>
        <w:commentReference w:id="8"/>
      </w:r>
      <w:r>
        <w:rPr>
          <w:rFonts w:eastAsia="宋体" w:hint="eastAsia"/>
        </w:rPr>
        <w:t>.</w:t>
      </w:r>
    </w:p>
    <w:p>
      <w:pPr>
        <w:pStyle w:val="normalfirst"/>
        <w:ind w:firstLineChars="200"/>
        <w:rPr/>
      </w:pPr>
      <w:commentRangeStart w:id="9"/>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9"/>
      <w:r>
        <w:commentReference w:id="9"/>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8">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9">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0">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1">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2" w:author="Mo Liu" w:date="2026-04-10T16:58:00Z" w:initials="ML">
    <w:p w14:paraId="01000000">
      <w:pPr>
        <w:overflowPunct w:val="false"/>
        <w:spacing w:before="0" w:after="0" w:lineRule="auto" w:line="240"/>
        <w:rPr/>
      </w:pPr>
      <w:r>
        <w:annotationRef/>
      </w:r>
      <w:r>
        <w:rPr>
          <w:rFonts w:eastAsia="宋体" w:cs="Noto Sans Arabic UI" w:ascii="Calibri" w:hAnsi="Calibri"/>
          <w:sz w:val="22"/>
          <w:szCs w:val="22"/>
        </w:rPr>
        <w:t>Mo will prepare a sup tables show hdp and sigpro version signatures</w:t>
      </w:r>
    </w:p>
  </w:comment>
  <w:comment w:id="1" w:author="Mo Liu" w:date="2026-04-16T22:24:00Z" w:initials="ML">
    <w:p w14:paraId="02000000">
      <w:pPr>
        <w:overflowPunct w:val="false"/>
        <w:spacing w:before="0" w:after="0" w:lineRule="auto" w:line="240"/>
        <w:rPr/>
      </w:pPr>
      <w:r>
        <w:annotationRef/>
      </w:r>
      <w:r>
        <w:rPr>
          <w:rFonts w:eastAsia="宋体" w:cs="Noto Sans Arabic UI" w:ascii="Calibri" w:hAnsi="Calibri"/>
          <w:sz w:val="22"/>
          <w:szCs w:val="22"/>
        </w:rPr>
        <w:t>Done</w:t>
      </w:r>
    </w:p>
  </w:comment>
  <w:comment w:id="0" w:author="Mo Liu" w:date="2026-04-28T20:06:00Z" w:initials="ML">
    <w:p w14:paraId="03000000">
      <w:pPr>
        <w:overflowPunct w:val="false"/>
        <w:spacing w:before="0" w:after="0" w:lineRule="auto" w:line="240"/>
        <w:rPr/>
      </w:pPr>
      <w:r>
        <w:annotationRef/>
      </w:r>
      <w:r>
        <w:rPr>
          <w:rFonts w:eastAsia="宋体" w:cs="Noto Sans Arabic UI" w:ascii="Calibri" w:hAnsi="Calibri"/>
          <w:sz w:val="22"/>
          <w:szCs w:val="22"/>
        </w:rPr>
        <w:t>A separate sup table</w:t>
      </w:r>
    </w:p>
  </w:comment>
  <w:comment w:id="3" w:author="Mo Liu" w:date="2026-05-06T20:27:00Z" w:initials="ML">
    <w:p>
      <w:pPr>
        <w:overflowPunct w:val="false"/>
        <w:spacing w:before="0" w:after="0" w:lineRule="auto" w:line="240"/>
        <w:rPr/>
      </w:pPr>
      <w:r>
        <w:annotationRef/>
      </w:r>
      <w:r>
        <w:rPr>
          <w:rFonts w:cs="Noto Sans Arabic UI" w:eastAsia="宋体" w:ascii="Calibri" w:hAnsi="Calibri"/>
          <w:sz w:val="22"/>
          <w:szCs w:val="22"/>
        </w:rPr>
        <w:t xml:space="preserve">We showed this in the last section of the paper. </w:t>
      </w:r>
    </w:p>
  </w:comment>
  <w:comment w:id="4" w:author="Mo Liu" w:date="2026-05-06T20:28:00Z" w:initials="ML">
    <w:p>
      <w:pPr>
        <w:overflowPunct w:val="false"/>
        <w:spacing w:before="0" w:after="0" w:lineRule="auto" w:line="240"/>
        <w:rPr/>
      </w:pPr>
      <w:r>
        <w:annotationRef/>
      </w:r>
      <w:r>
        <w:rPr>
          <w:rFonts w:cs="Noto Sans Arabic UI" w:eastAsia="宋体" w:ascii="Calibri" w:hAnsi="Calibri"/>
          <w:sz w:val="22"/>
          <w:szCs w:val="22"/>
        </w:rPr>
        <w:t>Mo wrote new paragraph</w:t>
      </w:r>
    </w:p>
  </w:comment>
  <w:comment w:id="5" w:author="Mo Liu" w:date="2026-05-06T20:28: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6"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7" w:author="Mo Liu" w:date="2026-05-06T15:46: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8"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9" w:author="Mo Liu" w:date="2026-04-07T16:27:00Z" w:initials="ML">
    <w:p>
      <w:pPr>
        <w:overflowPunct w:val="false"/>
        <w:spacing w:before="0" w:after="0" w:lineRule="auto" w:line="240"/>
        <w:rPr/>
      </w:pPr>
      <w:r>
        <w:annotationRef/>
      </w:r>
      <w:r>
        <w:rPr>
          <w:rFonts w:cs="Noto Sans Arabic UI" w:eastAsia="宋体" w:ascii="Calibri" w:hAnsi="Calibri"/>
          <w:sz w:val="22"/>
          <w:szCs w:val="22"/>
        </w:rPr>
        <w:t>To Steve: Please check if you edited this?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www.sciencedirect.com/science/article/pii/S2211124722002996" TargetMode="External"/><Relationship Id="rId4" Type="http://schemas.openxmlformats.org/officeDocument/2006/relationships/hyperlink" Target="https://share.google/aimode/iNBDfopq5IisBu9TY"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cancer.sanger.ac.uk/signatures/id/" TargetMode="External"/><Relationship Id="rId8" Type="http://schemas.openxmlformats.org/officeDocument/2006/relationships/hyperlink" Target="https://bmcbioinformatics.biomedcentral.com/articles/10.1186/s12859-020-03772-3" TargetMode="External"/><Relationship Id="rId9" Type="http://schemas.openxmlformats.org/officeDocument/2006/relationships/hyperlink" Target="https://doi.org/10.1016/j.celrep.2023.112930" TargetMode="External"/><Relationship Id="rId10" Type="http://schemas.openxmlformats.org/officeDocument/2006/relationships/hyperlink" Target="https://hgdownload.cse.ucsc.edu/goldenPath/hg19/encodeDCC/wgEncodeUwRepliSeq/" TargetMode="External"/><Relationship Id="rId11" Type="http://schemas.openxmlformats.org/officeDocument/2006/relationships/hyperlink" Target="https://genomebiology.biomedcentral.com/articles/10.1186/s13059-018-1509-y"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microsoft.com/office/2011/relationships/commentsExtended" Target="commentsExtended.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252</TotalTime>
  <Application>LibreOffice/26.2.2.2$Linux_X86_64 LibreOffice_project/620$Build-2</Application>
  <AppVersion>15.0000</AppVersion>
  <Pages>32</Pages>
  <Words>7540</Words>
  <Characters>45564</Characters>
  <CharactersWithSpaces>52967</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Mo Liu</dc:creator>
  <dc:description/>
  <dc:language>en-US</dc:language>
  <cp:lastModifiedBy/>
  <cp:lastPrinted>2025-06-06T09:23:00Z</cp:lastPrinted>
  <dcterms:modified xsi:type="dcterms:W3CDTF">2026-05-06T14:34:04Z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