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 xml:space="preserve">1 Sino-French Hoffmann Institute, School of Basic Medical Sciences, </w:t>
      </w:r>
      <w:r>
        <w:rPr>
          <w:rFonts w:eastAsia="宋体"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pPr>
        <w:pStyle w:val="Heading1"/>
        <w:spacing w:before="0" w:after="120"/>
        <w:rPr/>
      </w:pPr>
      <w:r>
        <w:rPr>
          <w:rFonts w:hint="eastAsia"/>
        </w:rPr>
        <w:t>150</w:t>
      </w:r>
      <w:r>
        <w:br w:type="page"/>
      </w:r>
    </w:p>
    <w:p>
      <w:pPr>
        <w:pStyle w:val="Heading1"/>
        <w:spacing w:before="0" w:after="120"/>
        <w:rPr/>
      </w:pPr>
      <w:r>
        <w:rPr>
          <w:rFonts w:hint="eastAsia"/>
        </w:rPr>
        <w:t>Old Long Abstract</w:t>
      </w:r>
    </w:p>
    <w:p>
      <w:pPr>
        <w:pStyle w:val="normalfirst"/>
        <w:rPr/>
      </w:pPr>
      <w:r>
        <w:rP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476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44 89-type mutational signatures and, independently, their corresponding 476-type signatures. Of these, to our knowledge, similar 89-type signatures were previously described for 18. Lossless translation between signatures in the 83-type and the two new classification schemes is impossible. However, we leveraged tumor mutational spectra dominated by individual signatures to exhaustively elucidate these correspondences. We found that the new classification schemes are in most cases superior, in that they detect differences between spectra and signatures that the 83-type classification does not. </w:t>
      </w:r>
      <w:r>
        <w:rPr>
          <w:rFonts w:hint="eastAsia"/>
        </w:rPr>
        <w:t>We release software for generating and plotting spectra in the new classifications. An accompanying web site enables exploration of signatures and their cross-classification relationships and provides a service to construct spectra from vcf files.</w:t>
      </w:r>
    </w:p>
    <w:p>
      <w:pPr>
        <w:pStyle w:val="normalfirst"/>
        <w:rPr/>
      </w:pPr>
      <w:r>
        <w:rPr/>
      </w:r>
    </w:p>
    <w:p>
      <w:pPr>
        <w:pStyle w:val="normalfirst"/>
        <w:rPr/>
      </w:pPr>
      <w:r>
        <w:rPr/>
        <w:t>(Currently 249 words)</w:t>
      </w:r>
    </w:p>
    <w:p>
      <w:pPr>
        <w:pStyle w:val="normalfirst"/>
        <w:rPr/>
      </w:pPr>
      <w:r>
        <w:rPr/>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Davies et al. 2017; Koh et al. 2025)</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2bTJlJjriYWb"/>
      <w:r>
        <w:rPr/>
        <w:t>(Koh et al. 2025)</w:t>
      </w:r>
      <w:bookmarkEnd w:id="10"/>
      <w:r>
        <w:rPr/>
        <w:t xml:space="preserve"> proposed two classification schemes, one with 89 types of indel and one with 476 types (Figure 1). </w:t>
      </w:r>
    </w:p>
    <w:p>
      <w:pPr>
        <w:pStyle w:val="Normal"/>
        <w:rPr/>
      </w:pPr>
      <w:r>
        <w:rP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rPr/>
        <w:t>(Rozen 2026)</w:t>
      </w:r>
      <w:bookmarkEnd w:id="11"/>
      <w:r>
        <w:rP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2" w:name="ZOTERO_BREF_6zFIi2vPZWZ4"/>
      <w:r>
        <w:rPr/>
        <w:t>(Koh et al. 2025)</w:t>
      </w:r>
      <w:bookmarkEnd w:id="12"/>
      <w:r>
        <w:rPr/>
        <w:t xml:space="preserve"> </w:t>
      </w:r>
      <w:r>
        <w:rPr>
          <w:shd w:fill="00FFFF" w:val="clear"/>
        </w:rPr>
        <w:t xml:space="preserve">(Figure 1, </w:t>
      </w:r>
      <w:r>
        <w:rPr>
          <w:shd w:fill="00FFFF" w:val="clear"/>
        </w:rPr>
        <w:t>Table S &lt;rosetta_stone&gt;</w:t>
      </w:r>
      <w:r>
        <w:rPr>
          <w:shd w:fill="00FFFF" w:val="clear"/>
        </w:rPr>
        <w:t xml:space="preserve"> )</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&gt;= 6 Ts </w:t>
      </w:r>
      <w:r>
        <w:rPr>
          <w:shd w:fill="00FFFF" w:val="clear"/>
        </w:rPr>
        <w:t>(Figure 1A)</w:t>
      </w:r>
      <w:r>
        <w:rPr/>
        <w:t xml:space="preserve">.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ATA→AA or ATTA&gt;ATA are distinguished from deletions of CTA→CA or CTTA→CTA, but the deletions CTA→CA and CTTTTA→CTTTA have the same classification. The </w:t>
      </w:r>
      <w:r>
        <w:rPr>
          <w:shd w:fill="FFFF00" w:val="clear"/>
        </w:rPr>
        <w:t xml:space="preserve">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ATA→AA, CTA→CA, and GTA→GA. The classifications of indels of 2 or more bases are less intuitive. </w:t>
      </w:r>
      <w:commentRangeStart w:id="0"/>
      <w:r>
        <w:rPr>
          <w:shd w:fill="FFFF00" w:val="clear"/>
        </w:rPr>
        <w:t>Supplementary Table &lt;rosetta stone&gt;</w:t>
      </w:r>
      <w:r>
        <w:rPr>
          <w:shd w:fill="FFFF00" w:val="clear"/>
        </w:rPr>
      </w:r>
      <w:commentRangeEnd w:id="0"/>
      <w:r>
        <w:commentReference w:id="0"/>
      </w:r>
      <w:r>
        <w:rPr>
          <w:shd w:fill="FFFF00" w:val="clea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We also tallied </w:t>
      </w:r>
      <w:r>
        <w:rPr>
          <w:shd w:fill="FFFF00" w:val="clear"/>
        </w:rPr>
        <w:t>their associations to SBSs and to sex within a given cancer type. In addition to the supplementary information provided here, we also 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32 cancer types</w:t>
      </w:r>
      <w:r>
        <w:rPr>
          <w:shd w:fill="FFFF00" w:val="clear"/>
        </w:rPr>
        <w:t xml:space="preserve"> </w:t>
      </w:r>
      <w:r>
        <w:rPr/>
        <w:t xml:space="preserve">using a method based on hierarchical Dirichlet processes  </w:t>
      </w:r>
      <w:bookmarkStart w:id="13" w:name="ZOTERO_BREF_sXKgi2ptdMXh"/>
      <w:r>
        <w:rPr/>
        <w:t>(Liu et al. 2023)</w:t>
      </w:r>
      <w:bookmarkEnd w:id="13"/>
      <w:r>
        <w:rPr/>
        <w:t xml:space="preserve">, and SigProfilerExtractor (SigPro), a method based on non-negative matrix factorization </w:t>
      </w:r>
      <w:bookmarkStart w:id="14" w:name="ZOTERO_BREF_Ax2rB3g50il2"/>
      <w:r>
        <w:rPr/>
        <w:t>(Islam et al. 2022)</w:t>
      </w:r>
      <w:bookmarkEnd w:id="14"/>
      <w:r>
        <w:rPr/>
        <w:t>.</w:t>
      </w:r>
      <w:commentRangeStart w:id="1"/>
      <w:r>
        <w:rPr/>
        <w:t xml:space="preserve"> The extracted signatures were broadly consistent between the two methods </w:t>
      </w:r>
      <w:r>
        <w:rPr>
          <w:shd w:fill="FFFF00" w:val="clear"/>
        </w:rPr>
        <w:t>(reference table 1, shiny app, our vignette)</w:t>
      </w:r>
      <w:r>
        <w:rPr>
          <w:shd w:fill="FFFF00" w:val="clear"/>
        </w:rPr>
      </w:r>
      <w:commentRangeEnd w:id="1"/>
      <w:r>
        <w:commentReference w:id="1"/>
      </w:r>
      <w:r>
        <w:rPr>
          <w:shd w:fill="FFFF00" w:val="clear"/>
        </w:rPr>
        <w:t xml:space="preserve">, </w:t>
      </w:r>
      <w:r>
        <w:rPr/>
        <w:t>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rPr/>
        <w:t xml:space="preserve"> were discovered. Further evidence of their robustness derives from the identification of tumor spectra dominated by a single signature. For </w:t>
      </w:r>
      <w:r>
        <w:rPr>
          <w:shd w:fill="FFFF00" w:val="clear"/>
        </w:rPr>
        <w:t>35</w:t>
      </w:r>
      <w:r>
        <w:rPr/>
        <w:t xml:space="preserve"> of the 44 signatures we identified tumor spectra with &gt; </w:t>
      </w:r>
      <w:r>
        <w:rPr>
          <w:shd w:fill="FFFF00" w:val="clear"/>
        </w:rPr>
        <w:t>0.95</w:t>
      </w:r>
      <w:r>
        <w:rPr/>
        <w:t xml:space="preserve"> cosine similarity, and 39 of the signatures had tumor spectra with &gt; 0.90 similarity (Table 1). Of the 44 signatures identified in the 89-type classification, similar signatures were previously described for 18 </w:t>
      </w:r>
      <w:bookmarkStart w:id="15" w:name="ZOTERO_BREF_DLtC4TQmbVUR"/>
      <w:r>
        <w:rPr/>
        <w:t>(Koh et al. 2025)</w:t>
      </w:r>
      <w:bookmarkEnd w:id="15"/>
      <w:r>
        <w:rPr/>
        <w:t xml:space="preserve">. </w:t>
      </w:r>
    </w:p>
    <w:p>
      <w:pPr>
        <w:pStyle w:val="normalfirst"/>
        <w:ind w:firstLine="720"/>
        <w:rPr/>
      </w:pPr>
      <w:r>
        <w:rP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rPr/>
        <w:t>(Jin et al. 2024b)</w:t>
      </w:r>
      <w:bookmarkEnd w:id="16"/>
      <w:r>
        <w:rPr/>
        <w:t>.</w:t>
      </w:r>
    </w:p>
    <w:p>
      <w:pPr>
        <w:pStyle w:val="normalfirst"/>
        <w:ind w:firstLine="720"/>
        <w:rPr/>
      </w:pPr>
      <w:r>
        <w:rPr/>
        <w:t xml:space="preserve">Because lossless translation between signatures in the 83-type and the two new classification schemes is impossible </w:t>
      </w:r>
      <w:r>
        <w:rPr>
          <w:shd w:fill="FFFF00" w:val="clear"/>
        </w:rPr>
        <w:t>&lt;steve create sup table from .csv file and call it sup_table_no_translation.xlsx&gt;</w:t>
      </w:r>
      <w:r>
        <w:rPr/>
        <w:t xml:space="preserve">, we used the tumor mutational spectra dominated by individual signatures to exhaustively elucidate these correspondences between the signatures in the 83-type classification system and in the two new classification systems. Table 1 shows the concordances, with details and discussion in </w:t>
      </w:r>
      <w:r>
        <w:rPr>
          <w:shd w:fill="FFFF00" w:val="clear"/>
        </w:rPr>
        <w:t>&lt;cite vignette and shiny app&gt;</w:t>
      </w:r>
      <w:r>
        <w:rPr/>
        <w:t xml:space="preserve">. </w:t>
      </w:r>
    </w:p>
    <w:p>
      <w:pPr>
        <w:pStyle w:val="normalfirst"/>
        <w:ind w:firstLine="720"/>
        <w:rPr/>
      </w:pPr>
      <w:r>
        <w:rPr/>
        <w:t>In several cases, the 89 and 476 type systems were able to distinguish signatures that the 83-type system merged: &lt;this is a note, delete it: ID1, 2, 3, 5, 19, A, N&gt;.</w:t>
      </w:r>
      <w:r>
        <w:rPr>
          <w:shd w:fill="FFFF00" w:val="clear"/>
        </w:rPr>
        <w:t xml:space="preserve"> &lt;steve write up examples: use 3a (bladder) and 3b (lung/liver well known; bladder new finding) 19a 19b, A_alpha,A_beta&gt; This is a primary component of the advantages of the two new type systems. In many cases the differences between the signatures in the 89 and 476</w:t>
      </w:r>
    </w:p>
    <w:p>
      <w:pPr>
        <w:pStyle w:val="normalfirst"/>
        <w:ind w:firstLine="720"/>
        <w:rPr/>
      </w:pPr>
      <w:r>
        <w:rPr/>
        <w:t>Conversely, there were two cases in which the 83-type and 476 type systems were able to distinguish two signatures that were similar the 89-type system. In the 89-type system InsDel13 and InsDel_C look very similar because the 89-type system combines deletion of single Ts in stretches of 1, 2, 3, or 4 Ts. However, the 83 and 476 type systems show that InsDel</w:t>
      </w:r>
      <w:r>
        <w:rPr>
          <w:rFonts w:eastAsia="宋体" w:hint="eastAsia"/>
        </w:rPr>
        <w:t>_</w:t>
      </w:r>
      <w:r>
        <w:rPr/>
        <w:t>C has deletions of 1 T from ATA (ATA → AA), while InsDel13 as deletions of T from ATTA (ATTA → ATA</w:t>
      </w:r>
      <w:r>
        <w:rPr>
          <w:rFonts w:eastAsia="宋体" w:hint="eastAsia"/>
        </w:rPr>
        <w:t>, Sup Figure S1A</w:t>
      </w:r>
      <w:r>
        <w:rPr/>
        <w:t>).</w:t>
      </w:r>
      <w:r>
        <w:rPr>
          <w:rFonts w:eastAsia="宋体" w:hint="eastAsia"/>
          <w:highlight w:val="yellow"/>
        </w:rPr>
        <w:t xml:space="preserve"> </w:t>
      </w:r>
    </w:p>
    <w:p>
      <w:pPr>
        <w:pStyle w:val="normalfirst"/>
        <w:ind w:firstLine="720"/>
        <w:rPr/>
      </w:pPr>
      <w:r>
        <w:rPr/>
        <w:t>The pair InsDel11 and InsDel16 is also similar, with InsDel11 having insertions of one C next to an isolated C (C with non-Cs on each side, e.g. ACG -&gt; ACCG) and insertion of a one T next to an isolated T (e.g. GTG -&gt; GTTG), as opposed to InsDel16, which has insertion of one  C between non-Cs (e.g. AT -&gt; ACT), and insertion of one T between non-Ts (e.g. AG -&gt; ATG</w:t>
      </w:r>
      <w:r>
        <w:rPr>
          <w:rFonts w:eastAsia="宋体" w:hint="eastAsia"/>
        </w:rPr>
        <w:t xml:space="preserve">, </w:t>
      </w:r>
      <w:commentRangeStart w:id="2"/>
      <w:r>
        <w:rPr>
          <w:rFonts w:eastAsia="宋体" w:hint="eastAsia"/>
        </w:rPr>
        <w:t>Sup Figure S1B</w:t>
      </w:r>
      <w:r>
        <w:rPr/>
        <w:t xml:space="preserve">). </w:t>
      </w:r>
      <w:commentRangeEnd w:id="2"/>
      <w:r>
        <w:commentReference w:id="2"/>
      </w:r>
      <w:r>
        <w:rPr/>
      </w:r>
    </w:p>
    <w:p>
      <w:pPr>
        <w:pStyle w:val="normalfirst"/>
        <w:rPr>
          <w:b/>
          <w:bCs/>
          <w:i/>
          <w:iCs/>
        </w:rPr>
      </w:pPr>
      <w:r>
        <w:rPr>
          <w:b/>
          <w:bCs/>
          <w:i/>
          <w:iCs/>
        </w:rPr>
        <w:t>Signature assignments</w:t>
      </w:r>
    </w:p>
    <w:p>
      <w:pPr>
        <w:pStyle w:val="normalfirst"/>
        <w:rPr>
          <w:b/>
          <w:bCs/>
          <w:i/>
          <w:iCs/>
        </w:rPr>
      </w:pPr>
      <w:r>
        <w:rPr>
          <w:b/>
          <w:bCs/>
          <w:i/>
          <w:iCs/>
        </w:rPr>
      </w:r>
    </w:p>
    <w:p>
      <w:pPr>
        <w:pStyle w:val="normalfirst"/>
        <w:rPr>
          <w:b/>
          <w:bCs/>
          <w:i/>
          <w:iCs/>
        </w:rPr>
      </w:pPr>
      <w:r>
        <w:rPr>
          <w:b/>
          <w:bCs/>
          <w:i/>
          <w:iCs/>
        </w:rPr>
        <w:t>New insights</w:t>
      </w:r>
    </w:p>
    <w:p>
      <w:pPr>
        <w:pStyle w:val="normalfirst"/>
        <w:rPr>
          <w:b/>
          <w:bCs/>
          <w:i/>
          <w:iCs/>
        </w:rPr>
      </w:pPr>
      <w:r>
        <w:rPr>
          <w:b/>
          <w:bCs/>
          <w:i/>
          <w:iCs/>
        </w:rPr>
        <w:t xml:space="preserve">AA </w:t>
      </w:r>
    </w:p>
    <w:p>
      <w:pPr>
        <w:pStyle w:val="normalfirst"/>
        <w:rPr/>
      </w:pPr>
      <w:r>
        <w:rPr>
          <w:shd w:fill="FFFF00" w:val="clear"/>
        </w:rPr>
        <w:t>&lt;edit&gt; &lt;forget about 89, just contrast 476 to 8</w:t>
      </w:r>
      <w:r>
        <w:rPr/>
        <w:t>9&gt; One example of 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normalfirst"/>
        <w:rPr>
          <w:b/>
          <w:bCs/>
          <w:i/>
          <w:iCs/>
        </w:rPr>
      </w:pPr>
      <w:r>
        <w:rPr>
          <w:b/>
          <w:bCs/>
          <w:i/>
          <w:iCs/>
        </w:rPr>
        <w:t>InsDel17  vs InsDel8</w:t>
      </w:r>
    </w:p>
    <w:p>
      <w:pPr>
        <w:pStyle w:val="normalfirst"/>
        <w:rPr>
          <w:b/>
          <w:bCs/>
          <w:i/>
          <w:iCs/>
        </w:rPr>
      </w:pPr>
      <w:r>
        <w:rPr>
          <w:b/>
          <w:bCs/>
          <w:i/>
          <w:iCs/>
        </w:rPr>
        <w:t xml:space="preserve">A_beta looks like apobec in (already known) / a alpha not correlated  A beta is TCA → TA and TCT → TT, SBS2 TCA →  TTA, TCT → TTT SBS13 is TCA → TGA, TCT -&gt;TGT </w:t>
      </w:r>
      <w:hyperlink r:id="rId3">
        <w:r>
          <w:rPr>
            <w:rStyle w:val="Hyperlink"/>
            <w:b/>
            <w:bCs/>
            <w:i/>
            <w:iCs/>
          </w:rPr>
          <w:t>https://www.sciencedirect.com/science/article/pii/S2211124722002996</w:t>
        </w:r>
      </w:hyperlink>
    </w:p>
    <w:p>
      <w:pPr>
        <w:pStyle w:val="normalfirst"/>
        <w:rPr>
          <w:b/>
          <w:bCs/>
          <w:i/>
          <w:iCs/>
        </w:rPr>
      </w:pPr>
      <w:r>
        <w:rPr>
          <w:b/>
          <w:bCs/>
          <w:i/>
          <w:iCs/>
        </w:rPr>
        <w:t>Koh already cited the paper above; did the paper look at the context -- NO</w:t>
      </w:r>
    </w:p>
    <w:p>
      <w:pPr>
        <w:pStyle w:val="normalfirst"/>
        <w:rPr>
          <w:b/>
          <w:bCs/>
          <w:i/>
          <w:iCs/>
        </w:rPr>
      </w:pPr>
      <w:r>
        <w:rPr>
          <w:b/>
          <w:bCs/>
          <w:i/>
          <w:iCs/>
        </w:rPr>
        <w:t xml:space="preserve">UV: </w:t>
      </w:r>
      <w:hyperlink r:id="rId4">
        <w:r>
          <w:rPr>
            <w:rStyle w:val="Hyperlink"/>
            <w:b/>
            <w:bCs/>
            <w:i/>
            <w:iCs/>
          </w:rPr>
          <w:t>https://share.google/aimode/iNBDfopq5IisBu9TY</w:t>
        </w:r>
      </w:hyperlink>
    </w:p>
    <w:p>
      <w:pPr>
        <w:pStyle w:val="normalfirst"/>
        <w:rPr>
          <w:b/>
          <w:bCs/>
          <w:i/>
          <w:iCs/>
        </w:rPr>
      </w:pPr>
      <w:r>
        <w:rPr>
          <w:b/>
          <w:bCs/>
          <w:i/>
          <w:iCs/>
        </w:rPr>
        <w:t>Sig H – 476 doesn’t really capture it</w:t>
      </w:r>
    </w:p>
    <w:p>
      <w:pPr>
        <w:pStyle w:val="normalfirst"/>
        <w:rPr>
          <w:b/>
          <w:bCs/>
          <w:i/>
          <w:iCs/>
        </w:rPr>
      </w:pPr>
      <w:r>
        <w:rPr>
          <w:b/>
          <w:bCs/>
          <w:i/>
          <w:iCs/>
        </w:rPr>
        <w:t>N_beta is the new ID2</w:t>
      </w:r>
    </w:p>
    <w:p>
      <w:pPr>
        <w:pStyle w:val="Heading2"/>
        <w:rPr/>
      </w:pPr>
      <w:r>
        <w:rPr/>
        <w:t>Signature activity</w:t>
      </w:r>
    </w:p>
    <w:p>
      <w:pPr>
        <w:pStyle w:val="Normal"/>
        <w:rPr>
          <w:rFonts w:eastAsia="宋体"/>
        </w:rPr>
      </w:pPr>
      <w:r>
        <w:rPr>
          <w:rFonts w:eastAsia="宋体"/>
        </w:rPr>
        <w:t>We assessed sig activity / maybe ack limitiations and site our paper</w:t>
      </w:r>
    </w:p>
    <w:p>
      <w:pPr>
        <w:pStyle w:val="Normal"/>
        <w:rPr>
          <w:rFonts w:eastAsia="宋体"/>
        </w:rPr>
      </w:pPr>
      <w:r>
        <w:rPr>
          <w:rFonts w:eastAsia="宋体"/>
        </w:rPr>
        <w:t>New sigs are rarer.</w:t>
      </w:r>
    </w:p>
    <w:p>
      <w:pPr>
        <w:pStyle w:val="Normal"/>
        <w:rPr>
          <w:rFonts w:eastAsia="宋体"/>
        </w:rPr>
      </w:pPr>
      <w:r>
        <w:rPr>
          <w:rFonts w:eastAsia="宋体"/>
        </w:rPr>
        <w:t>Few surprises beyond splitting, except 2</w:t>
      </w:r>
    </w:p>
    <w:p>
      <w:pPr>
        <w:pStyle w:val="Normal"/>
        <w:rPr>
          <w:rFonts w:eastAsia="宋体"/>
        </w:rPr>
      </w:pPr>
      <w:r>
        <w:rPr>
          <w:rFonts w:eastAsia="宋体"/>
        </w:rPr>
        <w:t>H stands is new / doesn’t show in the plot; what is the statistical test for outliers in proportions?</w:t>
      </w:r>
    </w:p>
    <w:p>
      <w:pPr>
        <w:pStyle w:val="Normal"/>
        <w:rPr/>
      </w:pPr>
      <w:r>
        <w:rPr/>
        <w:t xml:space="preserve"> </w:t>
      </w:r>
      <w:r>
        <w:rPr/>
        <w:t xml:space="preserve">(Figure </w:t>
      </w:r>
      <w:r>
        <w:rPr>
          <w:rFonts w:hint="eastAsia"/>
        </w:rPr>
        <w:t>4a</w:t>
      </w:r>
      <w:r>
        <w:rP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rPr/>
        <w:t xml:space="preserve">). </w:t>
        <w:softHyphen/>
      </w:r>
      <w:r>
        <w:rPr>
          <w:shd w:fill="FFFF00" w:val="clear"/>
        </w:rPr>
        <w:t>&lt;</w:t>
      </w:r>
      <w:commentRangeStart w:id="3"/>
      <w:r>
        <w:rPr>
          <w:shd w:fill="FFFF00" w:val="clear"/>
        </w:rPr>
        <w:t>Maybe say B is clock-like</w:t>
      </w:r>
      <w:r>
        <w:rPr>
          <w:shd w:fill="FFFF00" w:val="clear"/>
        </w:rPr>
      </w:r>
      <w:commentRangeEnd w:id="3"/>
      <w:r>
        <w:commentReference w:id="3"/>
      </w:r>
      <w:r>
        <w:rPr>
          <w:shd w:fill="FFFF00" w:val="clear"/>
        </w:rPr>
        <w:t>&gt;</w:t>
      </w:r>
    </w:p>
    <w:p>
      <w:pPr>
        <w:pStyle w:val="Normal"/>
        <w:rPr/>
      </w:pPr>
      <w:commentRangeStart w:id="4"/>
      <w:r>
        <w:rPr/>
        <w:t>When an 83-type signature corresponded to multiple 89-type signatures, such as C_ID1 being represented by InsDel1a, InsDel1b, and InsDel1c, these subdivided signatures often exhibited cancer type specificity or reflected distinct mutational processes. For example, C_ID3, which is associated with tobacco smoking, was primarily identified in bladder, liver, and lung cancers. Among its subtypes, InsDel3a was most commonly observed in bladder cancer, whereas InsDel3b displayed a strong association with tobacco smoking and contributed predominantly to mutagenesis in liver and lung cancers.</w:t>
      </w:r>
      <w:r>
        <w:rPr>
          <w:rFonts w:eastAsia="宋体" w:hint="eastAsia"/>
        </w:rPr>
        <w:t xml:space="preserve"> </w:t>
      </w:r>
      <w:r>
        <w:rPr/>
        <w:t>C_ID1 was present across nearly all cancer types. InsDel1a showed the highest prevalence in most cancer types and exhibited moderate activity levels. In contrast, InsDel1b accounted for a greater number of mutations in colon cancer and was associated with POLE deficiency and impaired DNA mismatch repair (Table SX; as also suggested by Koh et al., 2025).</w:t>
      </w:r>
      <w:r>
        <w:rPr>
          <w:rFonts w:eastAsia="宋体" w:hint="eastAsia"/>
        </w:rPr>
        <w:t xml:space="preserve"> </w:t>
      </w:r>
      <w:r>
        <w:rPr/>
        <w:t>A similar pattern was observed for ID_N, which was found in all cancer types. Its sub-signature, InsDel_N</w:t>
      </w:r>
      <w:r>
        <w:rPr>
          <w:rFonts w:eastAsia="宋体"/>
        </w:rPr>
        <w:t>α</w:t>
      </w:r>
      <w:r>
        <w:rPr/>
        <w:t>, was specifically linked to POLE mutations and mismatch repair deficiency, whereas InsDel_N</w:t>
      </w:r>
      <w:r>
        <w:rPr>
          <w:rFonts w:eastAsia="宋体"/>
        </w:rPr>
        <w:t>β</w:t>
      </w:r>
      <w:r>
        <w:rPr/>
        <w:t xml:space="preserve"> was prevalent across a broad range of cancer types.</w:t>
      </w:r>
      <w:commentRangeEnd w:id="4"/>
      <w:r>
        <w:commentReference w:id="4"/>
      </w:r>
      <w:r>
        <w:rPr/>
      </w:r>
    </w:p>
    <w:p>
      <w:pPr>
        <w:pStyle w:val="Heading3"/>
        <w:numPr>
          <w:ilvl w:val="0"/>
          <w:numId w:val="0"/>
        </w:numPr>
        <w:ind w:hanging="0" w:start="0"/>
        <w:rPr>
          <w:i/>
          <w:iCs/>
          <w:sz w:val="24"/>
          <w:szCs w:val="24"/>
        </w:rPr>
      </w:pPr>
      <w:commentRangeStart w:id="5"/>
      <w:r>
        <w:rPr>
          <w:i/>
          <w:iCs/>
          <w:sz w:val="24"/>
          <w:szCs w:val="24"/>
        </w:rPr>
        <w:t>Associations between indel signatures and SBS signatures</w:t>
      </w:r>
      <w:commentRangeEnd w:id="5"/>
      <w:r>
        <w:commentReference w:id="5"/>
      </w:r>
      <w:r>
        <w:rPr>
          <w:i/>
          <w:iCs/>
          <w:sz w:val="24"/>
          <w:szCs w:val="24"/>
        </w:rPr>
      </w:r>
    </w:p>
    <w:p>
      <w:pPr>
        <w:pStyle w:val="Normal"/>
        <w:rPr/>
      </w:pPr>
      <w:r>
        <w:rPr>
          <w:shd w:fill="FFFF00" w:val="clear"/>
        </w:rPr>
        <w:t xml:space="preserve">&lt;Call out the ones indicated in the figure&gt; </w:t>
      </w: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w:t>
      </w:r>
      <w:r>
        <w:rPr>
          <w:shd w:fill="FFFF00" w:val="clear"/>
        </w:rPr>
        <w:t xml:space="preserve">&lt;We need to show this&gt; </w:t>
      </w:r>
      <w:r>
        <w:rPr/>
        <w:t>Correlation analysis showed that the 89-type signature classification can distinguish more nuanced mutational processes than the 83-type scheme. These signatures displayed unique patterns of association with SBS signatures, emphasizing the improved resolution and specificity the 89-type taxonomy provides. Using unsupervised hierarchical clustering (see Methods), we grouped mutational signatures into distinct biological modules.</w:t>
      </w:r>
    </w:p>
    <w:p>
      <w:pPr>
        <w:pStyle w:val="Normal"/>
        <w:rPr/>
      </w:pPr>
      <w:r>
        <w:rPr/>
        <w:t>For example, the APOBEC-related cluster, which includes SBS2 and SBS13, showed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pPr>
        <w:pStyle w:val="Normal"/>
        <w:rPr/>
      </w:pPr>
      <w:r>
        <w:rP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pPr>
        <w:pStyle w:val="Normal"/>
        <w:rPr/>
      </w:pPr>
      <w:r>
        <w:rPr/>
        <w:t>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formation. Meanwhile, C_ID1 and InsDel1a exhibited stronger correlations with SBS1 and SBS18, supporting their association with mutagenesis driven by reactive oxygen species (Figure 5, “GI-ROS”).</w:t>
      </w:r>
    </w:p>
    <w:p>
      <w:pPr>
        <w:pStyle w:val="Heading2"/>
        <w:rPr/>
      </w:pPr>
      <w:r>
        <w:rPr>
          <w:rFonts w:hint="eastAsia"/>
        </w:rPr>
        <w:t>Topography of indel mutational signatures</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17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w:t>
      </w:r>
      <w:commentRangeStart w:id="6"/>
      <w:r>
        <w:rPr/>
        <w:t xml:space="preserve"> C_ID14 (</w:t>
      </w:r>
      <w:r>
        <w:rPr>
          <w:rFonts w:hint="eastAsia"/>
        </w:rPr>
        <w:t>SBS93 correlated</w:t>
      </w:r>
      <w:r>
        <w:rPr/>
        <w:t>)</w:t>
      </w:r>
      <w:r>
        <w:rPr/>
      </w:r>
      <w:commentRangeEnd w:id="6"/>
      <w:r>
        <w:commentReference w:id="6"/>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3 defective MMR signatures also showed tran</w:t>
      </w:r>
      <w:r>
        <w:rPr/>
        <w:t xml:space="preserve">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hint="eastAsia"/>
        </w:rPr>
        <w:t>6B &amp; S4B</w:t>
      </w:r>
      <w:r>
        <w:rPr/>
        <w:t xml:space="preserve">, Table </w:t>
      </w:r>
      <w:r>
        <w:rPr>
          <w:rFonts w:hint="eastAsia"/>
        </w:rPr>
        <w:t>S4</w:t>
      </w:r>
      <w:r>
        <w:rP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rPr/>
        <w:t xml:space="preserve"> on the leading strand (</w:t>
      </w:r>
      <w:r>
        <w:rPr>
          <w:rFonts w:eastAsia="宋体" w:hint="eastAsia"/>
        </w:rPr>
        <w:t>ID_K</w:t>
      </w:r>
      <w:r>
        <w:rPr/>
        <w:t xml:space="preserve">) or on the lagging strand (C_ID7 and </w:t>
      </w:r>
      <w:r>
        <w:rPr>
          <w:rFonts w:eastAsia="宋体" w:hint="eastAsia"/>
        </w:rPr>
        <w:t>ID_N</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hint="eastAsia"/>
        </w:rPr>
        <w:t>6C)</w:t>
      </w:r>
      <w:r>
        <w:rPr/>
        <w:t xml:space="preserve">. Among the 6 signatures, 5 of them were associated with defective endogenous mutational processes, including </w:t>
      </w:r>
      <w:r>
        <w:rPr>
          <w:rFonts w:hint="eastAsia"/>
        </w:rPr>
        <w:t>C_ID8</w:t>
      </w:r>
      <w:r>
        <w:rPr/>
        <w:t xml:space="preserve"> (Repair of DNA double strand breaks by NHEJ), C_ID17(TOP2A K743N mediated mutagenesis), </w:t>
      </w:r>
      <w:r>
        <w:rPr>
          <w:rFonts w:eastAsia="宋体" w:hint="eastAsia"/>
        </w:rPr>
        <w:t xml:space="preserve">ID_F </w:t>
      </w:r>
      <w:r>
        <w:rPr/>
        <w:t xml:space="preserve">(TOP1-mediated mutagenesis) </w:t>
      </w:r>
      <w:r>
        <w:rPr>
          <w:rFonts w:hint="eastAsia"/>
        </w:rPr>
        <w:t>a</w:t>
      </w:r>
      <w:r>
        <w:rPr/>
        <w:t xml:space="preserve">nd ID_L (defective MMR). Another 2 signatures with mutation enriched in genic regions were of unknown etiology (C_ID4, </w:t>
      </w:r>
      <w:r>
        <w:rPr>
          <w:rFonts w:eastAsia="宋体" w:hint="eastAsia"/>
        </w:rPr>
        <w:t>ID_</w:t>
      </w:r>
      <w:r>
        <w:rPr>
          <w:rFonts w:eastAsia="宋体"/>
        </w:rPr>
        <w:t>E</w:t>
      </w:r>
      <w:r>
        <w:rPr/>
        <w:t>).</w:t>
      </w:r>
    </w:p>
    <w:p>
      <w:pPr>
        <w:pStyle w:val="Normal"/>
        <w:rPr/>
      </w:pPr>
      <w:r>
        <w:rPr/>
        <w:t>The effect of DNA replication timing was also observed in many 83-type signatures</w:t>
      </w:r>
      <w:r>
        <w:rPr>
          <w:rFonts w:hint="eastAsia"/>
        </w:rPr>
        <w:t xml:space="preserve"> (Figure 6D &amp; S5</w:t>
      </w:r>
      <w:r>
        <w:rPr/>
        <w:t>, Table S-topo-2</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Several signatures showed cancer-specific enrichment in replication timing, including </w:t>
      </w:r>
      <w:r>
        <w:rPr>
          <w:rFonts w:hint="eastAsia"/>
        </w:rPr>
        <w:t>C_ID8</w:t>
      </w:r>
      <w:r>
        <w:rPr/>
        <w:t xml:space="preserve"> (Repair of DNA double strand breaks by NHEJ) and ID_F (TOP1-mediated mutagenesis) .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(Figure S-topo-ID89, Table S-topo-3).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17" w:name="ZOTERO_BREF_xeDB1zkV4c3y"/>
      <w:r>
        <w:rPr/>
        <w:t>(Jin et al. 2024a; Reijns et al. 2022; Koh et al. 2025)</w:t>
      </w:r>
      <w:bookmarkEnd w:id="17"/>
      <w:r>
        <w:rPr/>
        <w:t xml:space="preserve">. However, we detected a new indel signature, InsDel_F, which better corresponds to RNase H2 deficiency experimental data than ID4 </w:t>
      </w:r>
      <w:r>
        <w:rPr>
          <w:shd w:fill="FFFF00" w:val="clear"/>
        </w:rPr>
        <w:t>(Figure or Supplementary Figure Fvs4)</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Normal"/>
        <w:ind w:hanging="0"/>
        <w:rPr>
          <w:color w:val="000000"/>
          <w:shd w:fill="FFFF00" w:val="clear"/>
        </w:rPr>
      </w:pPr>
      <w:r>
        <w:rPr>
          <w:color w:val="000000"/>
          <w:shd w:fill="FFFF00" w:val="clear"/>
        </w:rPr>
        <w:t>NOVEL SIGNATURES MAYBE JUST A TABLE</w:t>
      </w:r>
    </w:p>
    <w:p>
      <w:pPr>
        <w:pStyle w:val="Heading2"/>
        <w:rPr>
          <w:rFonts w:eastAsia="宋体"/>
        </w:rPr>
      </w:pPr>
      <w:commentRangeStart w:id="7"/>
      <w:r>
        <w:rPr/>
        <w:t>Demographic Associations</w:t>
      </w:r>
      <w:r>
        <w:rPr>
          <w:rFonts w:eastAsia="宋体" w:hint="eastAsia"/>
        </w:rPr>
        <w:t xml:space="preserve"> with Gender and Age</w:t>
      </w:r>
      <w:commentRangeEnd w:id="7"/>
      <w:r>
        <w:commentReference w:id="7"/>
      </w:r>
      <w:r>
        <w:rPr>
          <w:rFonts w:eastAsia="宋体" w:hint="eastAsia"/>
        </w:rPr>
      </w:r>
    </w:p>
    <w:p>
      <w:pPr>
        <w:pStyle w:val="Normal"/>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(Figure 8A)</w:t>
      </w:r>
      <w:r>
        <w:rPr>
          <w:rFonts w:eastAsia="宋体"/>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pPr>
        <w:pStyle w:val="Normal"/>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(Figure 8B)</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highlight w:val="yellow"/>
        </w:rPr>
        <w:t>(Table SX)</w:t>
      </w:r>
      <w:r>
        <w:rPr>
          <w:rFonts w:eastAsia="宋体"/>
        </w:rPr>
        <w:t>. However, these broad pan-cancer associations likely reflect weak or heterogeneous age dependencies spread across multiple tumor types, rather than strong, tissue-specific age effects.</w:t>
      </w:r>
    </w:p>
    <w:p>
      <w:pPr>
        <w:pStyle w:val="Normal"/>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pPr>
        <w:pStyle w:val="Normal"/>
        <w:rPr>
          <w:rFonts w:eastAsia="宋体"/>
        </w:rPr>
      </w:pPr>
      <w:r>
        <w:rPr>
          <w:rFonts w:eastAsia="宋体"/>
        </w:rPr>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w:t>
      </w:r>
      <w:r>
        <w:rPr>
          <w:rFonts w:eastAsia="宋体" w:hint="eastAsia"/>
        </w:rPr>
        <w:t>32</w:t>
      </w:r>
      <w:r>
        <w:rPr/>
        <w:t xml:space="preserve"> cancer types from the PCAWG and HMF cohorts. As the first study to apply </w:t>
      </w:r>
      <w:r>
        <w:rPr>
          <w:rFonts w:eastAsia="宋体" w:hint="eastAsia"/>
        </w:rPr>
        <w:t>all indel</w:t>
      </w:r>
      <w:r>
        <w:rPr/>
        <w:t xml:space="preserve"> taxonomies</w:t>
      </w:r>
      <w:r>
        <w:rPr>
          <w:rFonts w:eastAsia="宋体" w:hint="eastAsia"/>
        </w:rPr>
        <w:t xml:space="preserve">, </w:t>
      </w:r>
      <w:r>
        <w:rPr/>
        <w:t>the 83-type and 89-type</w:t>
      </w:r>
      <w:r>
        <w:rPr>
          <w:rFonts w:eastAsia="宋体" w:hint="eastAsia"/>
        </w:rPr>
        <w:t xml:space="preserve"> and 476-type,</w:t>
      </w:r>
      <w:r>
        <w:rPr/>
        <w:t xml:space="preserve"> to such a large dataset, we established a comprehensive catalog of 3</w:t>
      </w:r>
      <w:r>
        <w:rPr>
          <w:rFonts w:eastAsia="宋体" w:hint="eastAsia"/>
        </w:rPr>
        <w:t>4</w:t>
      </w:r>
      <w:r>
        <w:rPr/>
        <w:t xml:space="preserve"> 83-type and 4</w:t>
      </w:r>
      <w:r>
        <w:rPr>
          <w:rFonts w:eastAsia="宋体" w:hint="eastAsia"/>
        </w:rPr>
        <w:t>4</w:t>
      </w:r>
      <w:r>
        <w:rPr/>
        <w:t xml:space="preserve"> 89-type signatures, alongside a unified mapping system to facilitate cross-referencing of signatures between the two classifications. Notably, we discovered two novel indel signatures (ID_F and InsDel_F) associated with TOP1-TAM</w:t>
      </w:r>
      <w:r>
        <w:rPr>
          <w:rFonts w:eastAsia="宋体" w:hint="eastAsia"/>
        </w:rPr>
        <w:t xml:space="preserve"> by a de-novo extraction approach</w:t>
      </w:r>
      <w:r>
        <w:rPr/>
        <w:t>, and validated their biological relevance using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6">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宋体" w:eastAsiaTheme="minorEastAsia"/>
          <w:shd w:fill="FFFF00" w:val="clear"/>
        </w:rPr>
        <w:t>Table S</w:t>
      </w:r>
      <w:r>
        <w:rPr>
          <w:rFonts w:eastAsia="宋体" w:eastAsiaTheme="minorEastAsia"/>
        </w:rPr>
        <w:t>).</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7">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shd w:fill="FFFF00" w:val="clear"/>
        </w:rPr>
        <w:t xml:space="preserve">&lt;MOVED FROM RESULTS&gt; </w:t>
      </w:r>
      <w:r>
        <w:rPr>
          <w:rFonts w:eastAsia="宋体"/>
        </w:rPr>
        <w:t>T</w:t>
      </w:r>
      <w:commentRangeStart w:id="8"/>
      <w:r>
        <w:rPr>
          <w:rFonts w:eastAsia="宋体"/>
        </w:rPr>
        <w: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w:t>
      </w:r>
      <w:r>
        <w:rPr>
          <w:rFonts w:eastAsia="宋体" w:hint="eastAsia"/>
        </w:rPr>
        <w:t>5</w:t>
      </w:r>
      <w:r>
        <w:rPr>
          <w:rFonts w:eastAsia="宋体"/>
        </w:rPr>
        <w:t>0% of the mutations</w:t>
      </w:r>
      <w:r>
        <w:rPr>
          <w:rFonts w:eastAsia="宋体" w:hint="eastAsia"/>
        </w:rPr>
        <w:t xml:space="preserve"> (Table SX)</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rPr/>
        <w:t>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rPr>
      </w:r>
      <w:commentRangeEnd w:id="8"/>
      <w:r>
        <w:commentReference w:id="8"/>
      </w:r>
      <w:r>
        <w:rPr>
          <w:rFonts w:eastAsia="宋体" w:hint="eastAsia"/>
        </w:rPr>
        <w:t>.</w:t>
      </w:r>
    </w:p>
    <w:p>
      <w:pPr>
        <w:pStyle w:val="normalfirst"/>
        <w:ind w:firstLineChars="200"/>
        <w:rPr/>
      </w:pPr>
      <w:commentRangeStart w:id="9"/>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commentRangeEnd w:id="9"/>
      <w:r>
        <w:commentReference w:id="9"/>
      </w:r>
      <w:r>
        <w:rPr/>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8">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9">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0">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1">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shd w:fill="FFFF00" w:val="clear"/>
        </w:rPr>
      </w:pPr>
      <w:r>
        <w:rPr>
          <w:shd w:fill="FFFF00" w:val="clear"/>
        </w:rPr>
        <w:t>&lt;MISSING EQUATIONS HERE&gt;</w:t>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t>(</w:t>
      </w:r>
      <w:r>
        <w:rPr>
          <w:color w:val="000000"/>
        </w:rPr>
        <w:t>2023YFE0107700</w:t>
      </w:r>
      <w:r>
        <w:rPr>
          <w:rFonts w:hint="eastAsia"/>
          <w:color w:val="000000"/>
        </w:rPr>
        <w:t>), Guangzhou Municipal Science</w:t>
      </w:r>
      <w:r>
        <w:rPr>
          <w:rFonts w:hint="eastAsia"/>
        </w:rPr>
        <w:t xml:space="preserv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8"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8"/>
    </w:p>
    <w:p>
      <w:pPr>
        <w:pStyle w:val="Normal"/>
        <w:spacing w:before="0" w:after="160"/>
        <w:rPr/>
      </w:pPr>
      <w:r>
        <w:rPr/>
      </w:r>
    </w:p>
    <w:sectPr>
      <w:footerReference w:type="even" r:id="rId12"/>
      <w:footerReference w:type="default" r:id="rId13"/>
      <w:footerReference w:type="first" r:id="rId14"/>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5-07T21:30:00Z" w:initials="ML">
    <w:p>
      <w:pPr>
        <w:overflowPunct w:val="false"/>
        <w:spacing w:before="0" w:after="0" w:lineRule="auto" w:line="240"/>
        <w:rPr/>
      </w:pPr>
      <w:r>
        <w:annotationRef/>
      </w:r>
      <w:r>
        <w:rPr>
          <w:rFonts w:cs="Noto Sans Arabic UI" w:eastAsia="宋体" w:ascii="Calibri" w:hAnsi="Calibri"/>
          <w:sz w:val="22"/>
          <w:szCs w:val="22"/>
        </w:rPr>
        <w:t>Table S1</w:t>
      </w:r>
    </w:p>
  </w:comment>
  <w:comment w:id="1" w:author="Mo Liu" w:date="2026-05-07T21:30:00Z" w:initials="ML">
    <w:p>
      <w:pPr>
        <w:overflowPunct w:val="false"/>
        <w:spacing w:before="0" w:after="0" w:lineRule="auto" w:line="240"/>
        <w:rPr/>
      </w:pPr>
      <w:r>
        <w:annotationRef/>
      </w:r>
      <w:r>
        <w:rPr>
          <w:rFonts w:cs="Noto Sans Arabic UI" w:eastAsia="宋体" w:ascii="Calibri" w:hAnsi="Calibri"/>
          <w:sz w:val="22"/>
          <w:szCs w:val="22"/>
        </w:rPr>
        <w:t>Table1, Table S2-S7</w:t>
      </w:r>
    </w:p>
  </w:comment>
  <w:comment w:id="2" w:author="Mo Liu" w:date="2026-05-07T21:43:00Z" w:initials="ML">
    <w:p>
      <w:pPr>
        <w:overflowPunct w:val="false"/>
        <w:spacing w:before="0" w:after="0" w:lineRule="auto" w:line="240"/>
        <w:rPr/>
      </w:pPr>
      <w:r>
        <w:annotationRef/>
      </w:r>
      <w:r>
        <w:rPr>
          <w:rFonts w:cs="Noto Sans Arabic UI" w:eastAsia="宋体" w:ascii="Calibri" w:hAnsi="Calibri"/>
          <w:sz w:val="22"/>
          <w:szCs w:val="22"/>
        </w:rPr>
        <w:t>Mo stopped here for adding sup info</w:t>
      </w:r>
    </w:p>
  </w:comment>
  <w:comment w:id="3" w:author="Mo Liu" w:date="2026-05-06T20:27:00Z" w:initials="ML">
    <w:p>
      <w:pPr>
        <w:overflowPunct w:val="false"/>
        <w:spacing w:before="0" w:after="0" w:lineRule="auto" w:line="240"/>
        <w:rPr/>
      </w:pPr>
      <w:r>
        <w:annotationRef/>
      </w:r>
      <w:r>
        <w:rPr>
          <w:rFonts w:cs="Noto Sans Arabic UI" w:eastAsia="宋体" w:ascii="Calibri" w:hAnsi="Calibri"/>
          <w:sz w:val="22"/>
          <w:szCs w:val="22"/>
        </w:rPr>
        <w:t xml:space="preserve">We showed this in the last section of the paper. </w:t>
      </w:r>
    </w:p>
  </w:comment>
  <w:comment w:id="4" w:author="Mo Liu" w:date="2026-05-06T20:28:00Z" w:initials="ML">
    <w:p>
      <w:pPr>
        <w:overflowPunct w:val="false"/>
        <w:spacing w:before="0" w:after="0" w:lineRule="auto" w:line="240"/>
        <w:rPr/>
      </w:pPr>
      <w:r>
        <w:annotationRef/>
      </w:r>
      <w:r>
        <w:rPr>
          <w:rFonts w:cs="Noto Sans Arabic UI" w:eastAsia="宋体" w:ascii="Calibri" w:hAnsi="Calibri"/>
          <w:sz w:val="22"/>
          <w:szCs w:val="22"/>
        </w:rPr>
        <w:t>Mo wrote new paragraph</w:t>
      </w:r>
    </w:p>
  </w:comment>
  <w:comment w:id="5" w:author="Mo Liu" w:date="2026-05-06T20:28:00Z" w:initials="ML">
    <w:p>
      <w:pPr>
        <w:overflowPunct w:val="false"/>
        <w:spacing w:before="0" w:after="0" w:lineRule="auto" w:line="240"/>
        <w:rPr/>
      </w:pPr>
      <w:r>
        <w:annotationRef/>
      </w:r>
      <w:r>
        <w:rPr>
          <w:rFonts w:cs="Noto Sans Arabic UI" w:eastAsia="宋体" w:ascii="Calibri" w:hAnsi="Calibri"/>
          <w:sz w:val="22"/>
          <w:szCs w:val="22"/>
        </w:rPr>
        <w:t>Mo finished writing for this section</w:t>
      </w:r>
    </w:p>
  </w:comment>
  <w:comment w:id="6" w:author="Mo Liu" w:date="2026-04-03T21:55:00Z" w:initials="ML">
    <w:p>
      <w:pPr>
        <w:overflowPunct w:val="true"/>
        <w:spacing w:lineRule="auto" w:line="240" w:before="0" w:after="0"/>
        <w:rPr/>
      </w:pPr>
      <w:r>
        <w:annotationRef/>
      </w:r>
      <w:r>
        <w:rPr>
          <w:rFonts w:eastAsia="宋体" w:cs="Noto Sans Arabic UI" w:ascii="Calibri" w:hAnsi="Calibri"/>
          <w:sz w:val="22"/>
          <w:szCs w:val="22"/>
        </w:rPr>
        <w:t>Figure 5 shows C_ID14’s high correlation with SBS93, the TSB further supports its formation due to DNA adduct</w:t>
      </w:r>
    </w:p>
  </w:comment>
  <w:comment w:id="7" w:author="Mo Liu" w:date="2026-05-06T15:46:00Z" w:initials="ML">
    <w:p>
      <w:pPr>
        <w:overflowPunct w:val="false"/>
        <w:spacing w:before="0" w:after="0" w:lineRule="auto" w:line="240"/>
        <w:rPr/>
      </w:pPr>
      <w:r>
        <w:annotationRef/>
      </w:r>
      <w:r>
        <w:rPr>
          <w:rFonts w:cs="Noto Sans Arabic UI" w:eastAsia="宋体" w:ascii="Calibri" w:hAnsi="Calibri"/>
          <w:sz w:val="22"/>
          <w:szCs w:val="22"/>
        </w:rPr>
        <w:t>Mo finished writing for this section</w:t>
      </w:r>
    </w:p>
  </w:comment>
  <w:comment w:id="8" w:author="Mo Liu" w:date="2026-04-07T16:26:00Z" w:initials="ML">
    <w:p>
      <w:pPr>
        <w:overflowPunct w:val="false"/>
        <w:spacing w:before="0" w:after="0" w:lineRule="auto" w:line="240"/>
        <w:rPr/>
      </w:pPr>
      <w:r>
        <w:annotationRef/>
      </w:r>
      <w:r>
        <w:rPr>
          <w:rFonts w:eastAsia="宋体" w:cs="Noto Sans Arabic UI" w:ascii="Calibri" w:hAnsi="Calibri"/>
          <w:sz w:val="22"/>
          <w:szCs w:val="22"/>
        </w:rPr>
        <w:t>Mo edit</w:t>
      </w:r>
    </w:p>
  </w:comment>
  <w:comment w:id="9" w:author="Mo Liu" w:date="2026-04-07T16:27:00Z" w:initials="ML">
    <w:p>
      <w:pPr>
        <w:overflowPunct w:val="false"/>
        <w:spacing w:before="0" w:after="0" w:lineRule="auto" w:line="240"/>
        <w:rPr/>
      </w:pPr>
      <w:r>
        <w:annotationRef/>
      </w:r>
      <w:r>
        <w:rPr>
          <w:rFonts w:cs="Noto Sans Arabic UI" w:eastAsia="宋体" w:ascii="Calibri" w:hAnsi="Calibri"/>
          <w:sz w:val="22"/>
          <w:szCs w:val="22"/>
        </w:rPr>
        <w:t>To Steve: Please check if you edited this?</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宋体">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eastAsia="DejaVu Sans" w:ascii="Calibri" w:hAnsi="Calibri"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semiHidden/>
    <w:unhideWhenUsed/>
    <w:qFormat/>
    <w:rsid w:val="00d2057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www.sciencedirect.com/science/article/pii/S2211124722002996" TargetMode="External"/><Relationship Id="rId4" Type="http://schemas.openxmlformats.org/officeDocument/2006/relationships/hyperlink" Target="https://share.google/aimode/iNBDfopq5IisBu9TY" TargetMode="External"/><Relationship Id="rId5" Type="http://schemas.openxmlformats.org/officeDocument/2006/relationships/hyperlink" Target="https://dcc.icgc.org/releases/current/Projects/" TargetMode="External"/><Relationship Id="rId6" Type="http://schemas.openxmlformats.org/officeDocument/2006/relationships/hyperlink" Target="https://cancer.sanger.ac.uk/cosmic/census?tier=1" TargetMode="External"/><Relationship Id="rId7" Type="http://schemas.openxmlformats.org/officeDocument/2006/relationships/hyperlink" Target="https://cancer.sanger.ac.uk/signatures/id/" TargetMode="External"/><Relationship Id="rId8" Type="http://schemas.openxmlformats.org/officeDocument/2006/relationships/hyperlink" Target="https://bmcbioinformatics.biomedcentral.com/articles/10.1186/s12859-020-03772-3" TargetMode="External"/><Relationship Id="rId9" Type="http://schemas.openxmlformats.org/officeDocument/2006/relationships/hyperlink" Target="https://doi.org/10.1016/j.celrep.2023.112930" TargetMode="External"/><Relationship Id="rId10" Type="http://schemas.openxmlformats.org/officeDocument/2006/relationships/hyperlink" Target="https://hgdownload.cse.ucsc.edu/goldenPath/hg19/encodeDCC/wgEncodeUwRepliSeq/" TargetMode="External"/><Relationship Id="rId11" Type="http://schemas.openxmlformats.org/officeDocument/2006/relationships/hyperlink" Target="https://genomebiology.biomedcentral.com/articles/10.1186/s13059-018-1509-y" TargetMode="Externa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comments" Target="comments.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LibreOffice/26.2.2.2$Linux_X86_64 LibreOffice_project/620$Build-2</Application>
  <AppVersion>15.0000</AppVersion>
  <Pages>32</Pages>
  <Words>7501</Words>
  <Characters>45349</Characters>
  <CharactersWithSpaces>52722</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2026-05-07T13:43:00Z</dcterms:created>
  <dc:creator>Mo Liu</dc:creator>
  <dc:description/>
  <dc:language>en-US</dc:language>
  <cp:lastModifiedBy/>
  <cp:lastPrinted>2025-06-06T09:23:00Z</cp:lastPrinted>
  <dcterms:modified xsi:type="dcterms:W3CDTF">2026-05-07T14:24:02Z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