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2.xml" ContentType="application/vnd.openxmlformats-officedocument.customXmlProperties+xml"/>
  <Override PartName="/customXml/item3.xml" ContentType="application/xml"/>
  <Override PartName="/customXml/item2.xml" ContentType="application/xml"/>
  <Override PartName="/customXml/itemProps3.xml" ContentType="application/vnd.openxmlformats-officedocument.customXmlPropertie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bookmarkStart w:id="0" w:name="OLE_LINK1"/>
      <w:r>
        <w:rPr/>
        <w:t>Mutation</w:t>
      </w:r>
      <w:r>
        <w:rPr>
          <w:rFonts w:hint="eastAsia"/>
        </w:rPr>
        <w:t>al</w:t>
      </w:r>
      <w:r>
        <w:rPr/>
        <w:t xml:space="preserve"> </w:t>
      </w:r>
      <w:r>
        <w:rPr>
          <w:rFonts w:hint="eastAsia"/>
        </w:rPr>
        <w:t>signatures</w:t>
      </w:r>
      <w:r>
        <w:rPr/>
        <w:t xml:space="preserve"> of small</w:t>
      </w:r>
      <w:r>
        <w:rPr>
          <w:rFonts w:hint="eastAsia"/>
        </w:rPr>
        <w:t xml:space="preserve"> </w:t>
      </w:r>
      <w:r>
        <w:rPr/>
        <w:t>insertion</w:t>
      </w:r>
      <w:r>
        <w:rPr>
          <w:rFonts w:hint="eastAsia"/>
        </w:rPr>
        <w:t xml:space="preserve">s </w:t>
      </w:r>
      <w:r>
        <w:rPr/>
        <w:t>and</w:t>
      </w:r>
      <w:r>
        <w:rPr>
          <w:rFonts w:hint="eastAsia"/>
        </w:rPr>
        <w:t xml:space="preserve"> </w:t>
      </w:r>
      <w:r>
        <w:rPr/>
        <w:t xml:space="preserve">deletions </w:t>
      </w:r>
      <w:r>
        <w:rPr>
          <w:rFonts w:hint="eastAsia"/>
        </w:rPr>
        <w:t>in 7,000 tumors</w:t>
      </w:r>
    </w:p>
    <w:p>
      <w:pPr>
        <w:pStyle w:val="authorsandaff"/>
        <w:spacing w:before="0" w:after="240"/>
        <w:rPr/>
      </w:pPr>
      <w:r>
        <w:rPr/>
        <w:t>Mo Liu</w:t>
      </w:r>
      <w:r>
        <w:rPr>
          <w:rFonts w:hint="eastAsia"/>
        </w:rPr>
        <w:t>1,2,3*#</w:t>
      </w:r>
      <w:r>
        <w:rPr/>
        <w:t>,</w:t>
      </w:r>
      <w:r>
        <w:rPr>
          <w:rFonts w:hint="eastAsia"/>
        </w:rPr>
        <w:t xml:space="preserve"> Mini Huang4*,</w:t>
      </w:r>
      <w:r>
        <w:rPr/>
        <w:t xml:space="preserve"> Qi Zheng</w:t>
      </w:r>
      <w:r>
        <w:rPr>
          <w:rFonts w:hint="eastAsia"/>
        </w:rPr>
        <w:t>1</w:t>
      </w:r>
      <w:r>
        <w:rPr/>
        <w:t>,</w:t>
      </w:r>
      <w:r>
        <w:rPr>
          <w:rFonts w:hint="eastAsia"/>
        </w:rPr>
        <w:t xml:space="preserve"> Arnoud Boot2,3, Shenli Zhang2,3, Szh-Chi Ho2,3, </w:t>
      </w:r>
      <w:r>
        <w:rPr/>
        <w:t>Runtian Yao</w:t>
      </w:r>
      <w:r>
        <w:rPr>
          <w:rFonts w:hint="eastAsia"/>
        </w:rPr>
        <w:t>4</w:t>
      </w:r>
      <w:r>
        <w:rPr/>
        <w:t xml:space="preserve">, </w:t>
      </w:r>
      <w:r>
        <w:rPr>
          <w:rFonts w:hint="eastAsia"/>
        </w:rPr>
        <w:t xml:space="preserve">Ying Yang1, Runxi Shen5, </w:t>
      </w:r>
      <w:r>
        <w:rPr/>
        <w:t>Steven G. Rozen</w:t>
      </w:r>
      <w:r>
        <w:rPr>
          <w:rFonts w:hint="eastAsia"/>
        </w:rPr>
        <w:t>2,3,6,7#</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7 Graduate Institute of Biomedical Sciences, Chang Gung University, Taoyuan City, 33302, Taiwan  </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Somatic mutations resulting from various mutational processes are key driver</w:t>
      </w:r>
      <w:r>
        <w:rPr>
          <w:rFonts w:hint="eastAsia"/>
        </w:rPr>
        <w:t>s</w:t>
      </w:r>
      <w:r>
        <w:rPr/>
        <w:t xml:space="preserve"> of tumorigenesis. Mutational signatures, which are distinctive patterns left by mutational processes, can be identified through experimental exposures to mutagens or </w:t>
      </w:r>
      <w:r>
        <w:rPr>
          <w:rFonts w:hint="eastAsia"/>
        </w:rPr>
        <w:t xml:space="preserve">through </w:t>
      </w:r>
      <w:r>
        <w:rPr/>
        <w:t xml:space="preserve">computational </w:t>
      </w:r>
      <w:r>
        <w:rPr>
          <w:rFonts w:hint="eastAsia"/>
        </w:rPr>
        <w:t xml:space="preserve">analysis of somatic mutations from large </w:t>
      </w:r>
      <w:r>
        <w:rPr/>
        <w:t>collections</w:t>
      </w:r>
      <w:r>
        <w:rPr>
          <w:rFonts w:hint="eastAsia"/>
        </w:rPr>
        <w:t xml:space="preserve"> of samples</w:t>
      </w:r>
      <w:r>
        <w:rPr/>
        <w:t xml:space="preserve">. In this study, we analyzed over 7,000 whole genomes from the Pan-Cancer Analysis of Whole Genomes and Hartwig Medical Foundation data sets to create a comprehensive collection of indel (small insertions and deletion) mutational signatures using two schemes for classifying indel mutations. We used an approach based on hierarchical Dirichlet processes approach to discover signatures according to each of the two indel classifications, and we elucidated the correspondences between the two classifications for both known and novel signatures We identified 15 signatures that were novel </w:t>
      </w:r>
      <w:commentRangeStart w:id="0"/>
      <w:r>
        <w:rPr/>
        <w:t>in both classifications</w:t>
      </w:r>
      <w:r>
        <w:rPr/>
      </w:r>
      <w:commentRangeEnd w:id="0"/>
      <w:r>
        <w:commentReference w:id="0"/>
      </w:r>
      <w:r>
        <w:rPr/>
        <w:t xml:space="preserve">, and we re-identified 23 of the COSMIC reference signatures. </w:t>
      </w:r>
      <w:r>
        <w:rPr>
          <w:rFonts w:hint="eastAsia"/>
        </w:rPr>
        <w:t xml:space="preserve">Of note, </w:t>
      </w:r>
      <w:r>
        <w:rPr/>
        <w:t xml:space="preserve">in cell-line experiments </w:t>
      </w:r>
      <w:r>
        <w:rPr>
          <w:rFonts w:hint="eastAsia"/>
        </w:rPr>
        <w:t>w</w:t>
      </w:r>
      <w:r>
        <w:rPr/>
        <w:t>e</w:t>
      </w:r>
      <w:r>
        <w:rPr>
          <w:rFonts w:hint="eastAsia"/>
        </w:rPr>
        <w:t xml:space="preserve"> showed that </w:t>
      </w:r>
      <w:r>
        <w:rPr/>
        <w:t>one</w:t>
      </w:r>
      <w:r>
        <w:rPr>
          <w:rFonts w:hint="eastAsia"/>
        </w:rPr>
        <w:t xml:space="preserve"> </w:t>
      </w:r>
      <w:r>
        <w:rPr/>
        <w:t>novel signature</w:t>
      </w:r>
      <w:r>
        <w:rPr>
          <w:rFonts w:hint="eastAsia"/>
        </w:rPr>
        <w:t xml:space="preserve"> </w:t>
      </w:r>
      <w:r>
        <w:rPr/>
        <w:t xml:space="preserve">is caused by transcription-associated mutagenesis by topoisomerase 1 at sites of genomically incorporated ribonucleotides. Among the novel signatures, four occurred </w:t>
      </w:r>
      <w:r>
        <w:rPr>
          <w:rFonts w:hint="eastAsia"/>
        </w:rPr>
        <w:t xml:space="preserve">in </w:t>
      </w:r>
      <w:r>
        <w:rPr/>
        <w:t>tumors</w:t>
      </w:r>
      <w:r>
        <w:rPr>
          <w:rFonts w:hint="eastAsia"/>
        </w:rPr>
        <w:t xml:space="preserve"> with </w:t>
      </w:r>
      <w:r>
        <w:rPr/>
        <w:t xml:space="preserve">defective DNA mismatch repair, which were analyzed more extensively </w:t>
      </w:r>
      <w:r>
        <w:rPr>
          <w:rFonts w:hint="eastAsia"/>
        </w:rPr>
        <w:t>in this study</w:t>
      </w:r>
      <w:r>
        <w:rPr/>
        <w:t xml:space="preserve">. Notably, the prevalences of </w:t>
      </w:r>
      <w:r>
        <w:rPr>
          <w:rFonts w:hint="eastAsia"/>
        </w:rPr>
        <w:t>9</w:t>
      </w:r>
      <w:r>
        <w:rPr/>
        <w:t xml:space="preserve"> signatures differed significantly</w:t>
      </w:r>
      <w:r>
        <w:rPr>
          <w:rFonts w:hint="eastAsia"/>
        </w:rPr>
        <w:t xml:space="preserve"> by </w:t>
      </w:r>
      <w:r>
        <w:rPr/>
        <w:t>gender</w:t>
      </w:r>
      <w:r>
        <w:rPr>
          <w:rFonts w:hint="eastAsia"/>
        </w:rPr>
        <w:t xml:space="preserve"> within particular cancer types</w:t>
      </w:r>
      <w:r>
        <w:rPr/>
        <w:t xml:space="preserve">. </w:t>
      </w:r>
      <w:r>
        <w:rPr>
          <w:rFonts w:hint="eastAsia"/>
        </w:rPr>
        <w:t>E</w:t>
      </w:r>
      <w:r>
        <w:rPr/>
        <w:t xml:space="preserve">xamination of signature contributions to somatic mutations in cancer genes revealed that signatures associated with tobacco smoke exposure account for nearly </w:t>
      </w:r>
      <w:r>
        <w:rPr>
          <w:rFonts w:hint="eastAsia"/>
        </w:rPr>
        <w:t>80</w:t>
      </w:r>
      <w:r>
        <w:rPr/>
        <w:t xml:space="preserve">% of </w:t>
      </w:r>
      <w:r>
        <w:rPr>
          <w:rFonts w:hint="eastAsia"/>
        </w:rPr>
        <w:t>exonic indels</w:t>
      </w:r>
      <w:r>
        <w:rPr/>
        <w:t xml:space="preserve"> in the tumor suppressor gene </w:t>
      </w:r>
      <w:r>
        <w:rPr>
          <w:rFonts w:hint="eastAsia"/>
          <w:i/>
          <w:iCs/>
        </w:rPr>
        <w:t>TP53</w:t>
      </w:r>
      <w:r>
        <w:rPr>
          <w:rFonts w:hint="eastAsia"/>
        </w:rPr>
        <w:t xml:space="preserve"> in lung and l</w:t>
      </w:r>
      <w:r>
        <w:rPr/>
        <w:t>i</w:t>
      </w:r>
      <w:r>
        <w:rPr>
          <w:rFonts w:hint="eastAsia"/>
        </w:rPr>
        <w:t>ver cancers</w:t>
      </w:r>
      <w:r>
        <w:rPr/>
        <w:t xml:space="preserve">. This work </w:t>
      </w:r>
      <w:r>
        <w:rPr>
          <w:rFonts w:hint="eastAsia"/>
        </w:rPr>
        <w:t xml:space="preserve">has </w:t>
      </w:r>
      <w:r>
        <w:rPr/>
        <w:t>establishe</w:t>
      </w:r>
      <w:r>
        <w:rPr>
          <w:rFonts w:hint="eastAsia"/>
        </w:rPr>
        <w:t>d</w:t>
      </w:r>
      <w:r>
        <w:rPr/>
        <w:t xml:space="preserve"> an expanded collection of i</w:t>
      </w:r>
      <w:r>
        <w:rPr>
          <w:rFonts w:hint="eastAsia"/>
        </w:rPr>
        <w:t>ndel</w:t>
      </w:r>
      <w:r>
        <w:rPr/>
        <w:t xml:space="preserve"> signatures in both indel classification schemes, validate</w:t>
      </w:r>
      <w:r>
        <w:rPr>
          <w:rFonts w:hint="eastAsia"/>
        </w:rPr>
        <w:t>d</w:t>
      </w:r>
      <w:r>
        <w:rPr/>
        <w:t xml:space="preserve"> a novel signature through functional modeling, elucidate</w:t>
      </w:r>
      <w:r>
        <w:rPr>
          <w:rFonts w:hint="eastAsia"/>
        </w:rPr>
        <w:t>d</w:t>
      </w:r>
      <w:r>
        <w:rPr/>
        <w:t xml:space="preserve"> </w:t>
      </w:r>
      <w:r>
        <w:rPr>
          <w:rFonts w:hint="eastAsia"/>
        </w:rPr>
        <w:t>indel signatures left by defective DNA mismatch repair</w:t>
      </w:r>
      <w:r>
        <w:rPr/>
        <w:t xml:space="preserve">, and has provided insights into biological implications through trait associations. </w:t>
      </w:r>
      <w:r>
        <w:rPr>
          <w:highlight w:val="yellow"/>
        </w:rPr>
        <w:t>&lt;can we provide a web page for understanding these signatures?</w:t>
      </w:r>
      <w:r>
        <w:rPr/>
        <w:t>&gt;</w:t>
      </w:r>
    </w:p>
    <w:p>
      <w:pPr>
        <w:pStyle w:val="Normal"/>
        <w:rPr/>
      </w:pPr>
      <w:r>
        <w:rPr/>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 xml:space="preserve">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r>
      <w:r>
        <w:rPr>
          <w:rStyle w:val="normalfirstChar"/>
          <w:rFonts w:hint="eastAsia"/>
        </w:rPr>
        <w:fldChar w:fldCharType="separate"/>
      </w:r>
      <w:r>
        <w:rPr>
          <w:rStyle w:val="normalfirstChar"/>
          <w:rFonts w:hint="eastAsia"/>
        </w:rPr>
      </w:r>
      <w:r>
        <w:rPr/>
        <w:t>(Alexandrov et al. 2014)</w:t>
      </w:r>
      <w:r>
        <w:rPr>
          <w:rStyle w:val="normalfirstChar"/>
          <w:rFonts w:hint="eastAsia"/>
        </w:rPr>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r>
        <w:fldChar w:fldCharType="begin"/>
      </w:r>
      <w:r>
        <w:rPr/>
        <w:instrText xml:space="preserve">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rPr/>
      </w:r>
      <w:r>
        <w:rPr/>
        <w:fldChar w:fldCharType="separate"/>
      </w:r>
      <w:r>
        <w:rPr/>
        <w:t>(Alexandrov et al. 2016; Ng et al. 2017; Dziubańska-Kusibab et al. 2020; Boot et al. 2020)</w:t>
      </w:r>
      <w:r>
        <w:rPr/>
      </w:r>
      <w:r>
        <w:rPr/>
        <w:fldChar w:fldCharType="end"/>
      </w:r>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r>
        <w:fldChar w:fldCharType="begin"/>
      </w:r>
      <w:r>
        <w:rPr/>
        <w:instrText xml:space="preserve">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rPr/>
      </w:r>
      <w:r>
        <w:rPr/>
        <w:fldChar w:fldCharType="separate"/>
      </w:r>
      <w:r>
        <w:rPr/>
        <w:t>(Boot et al. 2018; Huang et al. 2017; Kucab et al. 2019; Caipa Garcia et al. 2024; Riva et al. 2020)</w:t>
      </w:r>
      <w:r>
        <w:rPr/>
      </w:r>
      <w:r>
        <w:rPr/>
        <w:fldChar w:fldCharType="end"/>
      </w:r>
      <w:r>
        <w:rPr/>
        <w:t>. In addition, machine learning can identify mutational signatures as latent factors that explain the patterns of mutations in large collections of somatic mutation dat</w:t>
      </w:r>
      <w:r>
        <w:rPr>
          <w:rFonts w:hint="eastAsia"/>
        </w:rPr>
        <w:t xml:space="preserve">a </w:t>
      </w:r>
      <w:r>
        <w:fldChar w:fldCharType="begin"/>
      </w:r>
      <w:r>
        <w:rPr>
          <w:rFonts w:hint="eastAsia"/>
        </w:rPr>
        <w:instrText xml:space="preserve">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patient’s cancer. We performed mutational signature analyses on 12,222 whole-genome–sequenced tumor-normal matched pairs from patients recruited via the UK National Health Service (NHS). We contrasted our results with two independent cancer WGS datasets—from the International Cancer Genome Consortium (ICGC) and the Hartwig Medical Foundation (HMF)—involving 18,640 whole-genome–sequenced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r>
      <w:r>
        <w:rPr>
          <w:rFonts w:hint="eastAsia"/>
        </w:rPr>
        <w:fldChar w:fldCharType="separate"/>
      </w:r>
      <w:r>
        <w:rPr>
          <w:rFonts w:hint="eastAsia"/>
        </w:rPr>
      </w:r>
      <w:r>
        <w:rPr/>
        <w:t>(Alexandrov et al. 2020; 2014; Nik-Zainal et al. 2012; Degasperi et al. 2022; Chen et al. 2024; Jin et al. 2024; Koh et al. 2025)</w:t>
      </w:r>
      <w:r>
        <w:rPr>
          <w:rFonts w:hint="eastAsia"/>
        </w:rPr>
      </w:r>
      <w:r>
        <w:rPr>
          <w:rFonts w:hint="eastAsia"/>
        </w:rPr>
        <w:fldChar w:fldCharType="end"/>
      </w:r>
      <w:r>
        <w:rPr/>
        <w:t>. For example, data mining of upper tract urothelial cancers (UTUC) from Taiwan initially identified the aristolochic acid (AA) single-base substitution (SBS) signature</w:t>
      </w:r>
      <w:r>
        <w:rPr>
          <w:rFonts w:hint="eastAsia"/>
        </w:rPr>
        <w:t xml:space="preserve"> </w:t>
      </w:r>
      <w: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“molecular fingerprints”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r>
      <w:r>
        <w:rPr>
          <w:rFonts w:hint="eastAsia"/>
        </w:rPr>
        <w:fldChar w:fldCharType="separate"/>
      </w:r>
      <w:r>
        <w:rPr>
          <w:rFonts w:hint="eastAsia"/>
        </w:rPr>
      </w:r>
      <w:r>
        <w:rPr/>
        <w:t>(Hoang et al. 2013; Poon et al. 2013)</w:t>
      </w:r>
      <w:r>
        <w:rPr>
          <w:rFonts w:hint="eastAsia"/>
        </w:rPr>
      </w:r>
      <w:r>
        <w:rPr>
          <w:rFonts w:hint="eastAsia"/>
        </w:rPr>
        <w:fldChar w:fldCharType="end"/>
      </w:r>
      <w:r>
        <w:rPr>
          <w:rFonts w:hint="eastAsia"/>
        </w:rPr>
        <w:t>.</w:t>
      </w:r>
      <w:r>
        <w:rPr/>
        <w:t xml:space="preserve"> Subsequent analysis revealed that this SBS signature was also present in bladder, kidney, and liver cancers</w:t>
      </w:r>
      <w:r>
        <w:rPr>
          <w:rFonts w:hint="eastAsia"/>
        </w:rPr>
        <w:t xml:space="preserve"> </w:t>
      </w:r>
      <w:r>
        <w:fldChar w:fldCharType="begin"/>
      </w:r>
      <w:r>
        <w:rPr>
          <w:rFonts w:hint="eastAsia"/>
        </w:rPr>
        <w:instrText xml:space="preserve">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r>
      <w:r>
        <w:rPr>
          <w:rFonts w:hint="eastAsia"/>
        </w:rPr>
        <w:fldChar w:fldCharType="separate"/>
      </w:r>
      <w:r>
        <w:rPr>
          <w:rFonts w:hint="eastAsia"/>
        </w:rPr>
      </w:r>
      <w:r>
        <w:rPr/>
        <w:t>(Ng et al. 2017; Poon et al. 2015)</w:t>
      </w:r>
      <w:r>
        <w:rPr>
          <w:rFonts w:hint="eastAsia"/>
        </w:rPr>
      </w:r>
      <w:r>
        <w:rPr>
          <w:rFonts w:hint="eastAsia"/>
        </w:rPr>
        <w:fldChar w:fldCharType="end"/>
      </w:r>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r>
        <w:fldChar w:fldCharType="begin"/>
      </w:r>
      <w:r>
        <w:rPr>
          <w:rFonts w:hint="eastAsia"/>
        </w:rPr>
        <w:instrText xml:space="preserve">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r>
      <w:r>
        <w:rPr>
          <w:rFonts w:hint="eastAsia"/>
        </w:rPr>
        <w:fldChar w:fldCharType="separate"/>
      </w:r>
      <w:r>
        <w:rPr>
          <w:rFonts w:hint="eastAsia"/>
        </w:rPr>
      </w:r>
      <w:r>
        <w:rPr/>
        <w:t>(Chen et al. 2024)</w:t>
      </w:r>
      <w:r>
        <w:rPr>
          <w:rFonts w:hint="eastAsia"/>
        </w:rPr>
      </w:r>
      <w:r>
        <w:rPr>
          <w:rFonts w:hint="eastAsia"/>
        </w:rPr>
        <w:fldChar w:fldCharType="end"/>
      </w:r>
      <w:r>
        <w:rPr>
          <w:rFonts w:hint="eastAsia"/>
        </w:rPr>
        <w:t>.</w:t>
      </w:r>
    </w:p>
    <w:p>
      <w:pPr>
        <w:pStyle w:val="Normal"/>
        <w:rPr/>
      </w:pPr>
      <w:commentRangeStart w:id="1"/>
      <w:r>
        <w:rPr/>
        <w:t xml:space="preserve">Although </w:t>
      </w:r>
      <w:r>
        <w:rPr/>
      </w:r>
      <w:commentRangeEnd w:id="1"/>
      <w:r>
        <w:commentReference w:id="1"/>
      </w:r>
      <w:r>
        <w:rPr/>
        <w:t xml:space="preserve">mutational-signature research has tended to neglect indels compared to SBSs, indel signatures also yield important information for cancer classification and for understanding DNA repair and mutagenic mechanisms. Examples include identification of tumors with homologous recombination deficiency </w:t>
      </w:r>
      <w:r>
        <w:fldChar w:fldCharType="begin"/>
      </w:r>
      <w:r>
        <w:rPr>
          <w:rStyle w:val="normalfirstChar"/>
        </w:rPr>
        <w:instrText xml:space="preserve">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rPr>
          <w:rStyle w:val="normalfirstChar"/>
        </w:rPr>
      </w:r>
      <w:r>
        <w:rPr>
          <w:rStyle w:val="normalfirstChar"/>
        </w:rPr>
        <w:fldChar w:fldCharType="separate"/>
      </w:r>
      <w:r>
        <w:rPr>
          <w:rStyle w:val="normalfirstChar"/>
        </w:rPr>
      </w:r>
      <w:r>
        <w:rPr/>
        <w:t>(Davies et al. 2017)</w:t>
      </w:r>
      <w:r>
        <w:rPr>
          <w:rStyle w:val="normalfirstChar"/>
        </w:rPr>
      </w:r>
      <w:r>
        <w:rPr>
          <w:rStyle w:val="normalfirstChar"/>
        </w:rPr>
        <w:fldChar w:fldCharType="end"/>
      </w:r>
      <w:r>
        <w:rPr/>
        <w:t xml:space="preserve">, subclassification of different types of mismatch repair deficiency </w:t>
      </w:r>
      <w:r>
        <w:rPr>
          <w:highlight w:val="cyan"/>
        </w:rPr>
        <w:t>&lt;Not sure of this – Koh did or did not subclassify MSI?&gt;</w:t>
      </w:r>
      <w:r>
        <w:rPr/>
        <w:t xml:space="preserve"> and a rare indel hypermutator phenotype due to a mutation in topoisomerase 2 alpha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(Boot et al. 2022)</w:t>
      </w:r>
      <w:r>
        <w:rPr>
          <w:rStyle w:val="normalfirstChar"/>
        </w:rPr>
      </w:r>
      <w:r>
        <w:rPr>
          <w:rStyle w:val="normalfirstChar"/>
        </w:rPr>
        <w:fldChar w:fldCharType="end"/>
      </w:r>
      <w:r>
        <w:rPr>
          <w:rStyle w:val="normalfirstChar"/>
        </w:rPr>
        <w:t xml:space="preserve">. </w:t>
      </w:r>
      <w:r>
        <w:rPr>
          <w:highlight w:val="yellow"/>
        </w:rPr>
        <w:t>Despite their importance, indel signatures have received less attention than SBS signatures, and &lt;check Koh et all counts&gt; as of COSMIC v3.4, 99 SBS signatures are catalogued, compared to only 23 I</w:t>
      </w:r>
      <w:r>
        <w:rPr>
          <w:rFonts w:hint="eastAsia"/>
          <w:highlight w:val="yellow"/>
        </w:rPr>
        <w:t>ndel</w:t>
      </w:r>
      <w:r>
        <w:rPr>
          <w:highlight w:val="yellow"/>
        </w:rPr>
        <w:t>83 signatures.</w:t>
      </w:r>
    </w:p>
    <w:p>
      <w:pPr>
        <w:pStyle w:val="Normal"/>
        <w:rPr/>
      </w:pPr>
      <w:r>
        <w:rPr/>
        <w:t xml:space="preserve">There are two main systems for classifying indel mutations. The established system, termed “Indel83” here, classifies indels into 83 types and appears in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 and on the COSMIC web site (https://cancer.sanger.ac.uk/signatures/id/, </w:t>
      </w:r>
      <w:hyperlink r:id="rId3">
        <w:r>
          <w:rPr>
            <w:rStyle w:val="Hyperlink"/>
          </w:rPr>
          <w:t>https://cancer.sanger.ac.uk/signatures/documents/4/PCAWG7_indel_classification_2021_08_31.xlsx</w:t>
        </w:r>
      </w:hyperlink>
      <w:r>
        <w:rPr/>
        <w:t xml:space="preserve">, Figure 1A). The other system, “Indel89”, classifies indels into 89 types </w:t>
      </w:r>
      <w:r>
        <w:fldChar w:fldCharType="begin"/>
      </w:r>
      <w:r>
        <w:rPr/>
        <w:instrText xml:space="preserve">ADDIN ZOTERO_ITEM CSL_CITATION {"citationID":"kySsPJMK","properties":{"formattedCitation":"(Koh et al. 2025)","plainCitation":"(Koh et al. 2025)","noteIndex":0},"citationItems":[{"id":"LB8OR9DJ/700SJbQ9","uris":["http://zotero.org/users/14858941/items/TMR7S8H6"],"itemData":{"id":899,"type":"article-journal","abstract":"Abstract\n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
      <w:r>
        <w:rPr/>
        <w:fldChar w:fldCharType="separate"/>
      </w:r>
      <w:r>
        <w:rPr/>
        <w:t>(Koh et al. 2025)</w:t>
      </w:r>
      <w:r>
        <w:rPr/>
      </w:r>
      <w:r>
        <w:rPr/>
        <w:fldChar w:fldCharType="end"/>
      </w:r>
      <w:r>
        <w:rPr/>
        <w:t xml:space="preserve">(Figure 1B). </w:t>
      </w:r>
      <w:commentRangeStart w:id="2"/>
      <w:r>
        <w:rPr/>
        <w:t>In the current study</w:t>
      </w:r>
      <w:r>
        <w:rPr>
          <w:rFonts w:hint="eastAsia"/>
        </w:rPr>
        <w:t xml:space="preserve">, </w:t>
      </w:r>
      <w:r>
        <w:rPr/>
        <w:t xml:space="preserve">we follow </w:t>
      </w:r>
      <w:r>
        <w:rPr/>
      </w:r>
      <w:commentRangeEnd w:id="2"/>
      <w:r>
        <w:commentReference w:id="2"/>
      </w:r>
      <w:r>
        <w:rPr/>
        <w:t xml:space="preserve">the convention of designating Indel83 signatures with the prefix ID (e.g. ID23 in Figure 1A) and designating the Indel89 signatures that we extracted with the prefix InsDel (e.g. InsDel23 in Figure 1B). </w:t>
      </w:r>
      <w:commentRangeStart w:id="3"/>
      <w:r>
        <w:rPr/>
        <w:t>For signatures extracted in Koh et al. 2025 we use the identifiers beginning InD as presented in that paper</w:t>
      </w:r>
      <w:r>
        <w:rPr/>
      </w:r>
      <w:commentRangeEnd w:id="3"/>
      <w:r>
        <w:commentReference w:id="3"/>
      </w:r>
      <w:r>
        <w:rPr/>
        <w:t xml:space="preserve">. We have based the numbering of signatures on the numbering in </w:t>
      </w:r>
      <w:r>
        <w:rPr>
          <w:highlight w:val="yellow"/>
        </w:rPr>
        <w:t>&lt;ref cosmic&gt;.</w:t>
      </w:r>
      <w:r>
        <w:rPr/>
        <w:t xml:space="preserve"> When a single Indel83 signature maps to several Indel89 signatures, we distinguish them by single-letter suffixes. For example, ID1 maps to Indel89 signatures InsDel1a, InsDel1b, InsDel1c, and InsDel1d. In many cases Koh et al assigned InD numbers to signatures with the same number in &lt;cosmic reference&gt;. However, some assignments appear to be discrepant based on analyses in the current study present below, and we believe the InsDel IDs provide better correspondence.</w:t>
      </w:r>
    </w:p>
    <w:p>
      <w:pPr>
        <w:pStyle w:val="Normal"/>
        <w:rPr/>
      </w:pPr>
      <w:r>
        <w:rPr/>
        <w:t xml:space="preserve">The </w:t>
      </w:r>
      <w:r>
        <w:rPr>
          <w:rFonts w:hint="eastAsia"/>
        </w:rPr>
        <w:t>Indel</w:t>
      </w:r>
      <w:r>
        <w:rPr/>
        <w:t>83 system primarily categorizes indels based on the number of bases inserted or deleted, and for single-base insertions and deletions the identity of the deleted or inserted base (conventionally shown as pyrimidines, C or T). For these single-base indels, the Indel83 system also considers the number of flanking C or T residues (Figure 1A). Larger indels are further classified by their occu</w:t>
      </w:r>
      <w:r>
        <w:rPr>
          <w:rFonts w:hint="eastAsia"/>
        </w:rPr>
        <w:t xml:space="preserve">rrence within repetitive sequences </w:t>
      </w:r>
      <w:r>
        <w:rPr/>
        <w:t>(i.e. microsatellite, simple tandem repeat).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that are outside of </w:t>
      </w:r>
      <w:r>
        <w:rPr>
          <w:rFonts w:hint="eastAsia"/>
        </w:rPr>
        <w:t xml:space="preserve">repetitive </w:t>
      </w:r>
      <w:r>
        <w:rPr/>
        <w:t>sequences, the Indel83 system notes</w:t>
      </w:r>
      <w:r>
        <w:rPr>
          <w:rFonts w:hint="eastAsia"/>
        </w:rPr>
        <w:t xml:space="preserve"> the presence of microhomology</w:t>
      </w:r>
      <w:r>
        <w:rPr/>
        <w:t xml:space="preserve">. Microhomology is </w:t>
      </w:r>
      <w:r>
        <w:rPr>
          <w:rFonts w:hint="eastAsia"/>
        </w:rPr>
        <w:t xml:space="preserve">a hallmark of non-homologous end-joining repair, </w:t>
      </w:r>
      <w:r>
        <w:rPr/>
        <w:t>an error-prone repair mechanism that operates when repair by homologous recombination is not available, notably</w:t>
      </w:r>
      <w:r>
        <w:rPr>
          <w:rFonts w:hint="eastAsia"/>
        </w:rPr>
        <w:t xml:space="preserve"> in BRCA-deficient tumors. For example, a 3-bp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Indel89 classification, unlike the Indel83 classification, for deletions or insertions of a single T or C incorporates distinctions based on the non-T (respectively, the non-C) flaking bases. However, the Indel89 classification makes less granular distinctions based on the number of Ts </w:t>
      </w:r>
      <w:commentRangeStart w:id="4"/>
      <w:r>
        <w:rPr/>
        <w:t>or Cs in homopolymers at the sites of single-base deletions (Figure 1B). For example, the Indel89 classification distinguishes between deletions of a T in which the preceding base is A, C, or G (in Figure 1B, signature InsDel23). Thus, deletions of ATA&gt;AA or ATTA&gt;ATA are distinguished from deletions of CTA&gt;CA or CTTA</w:t>
      </w:r>
      <w:r>
        <w:rPr/>
      </w:r>
      <w:commentRangeEnd w:id="4"/>
      <w:r>
        <w:commentReference w:id="4"/>
      </w:r>
      <w:r>
        <w:rPr/>
        <w:t xml:space="preserve">&gt;CTA, distinctions in the identity of the flanking base (in the example, A and C) that the Indel83 classification does not capture. At the same time, however, for deletions of a single T, the Indel89 classification groups together deletions of a single T in isolation along with deletions of a single T from repeats of 2 to 4 Ts, a distinction that Indel83 makes (Figure 1B versus Figure 1C). Furthermore, the Indel89 distinguishes </w:t>
      </w:r>
      <w:r>
        <w:rPr>
          <w:highlight w:val="yellow"/>
        </w:rPr>
        <w:t>19 &lt;correct?&gt; types</w:t>
      </w:r>
      <w:r>
        <w:rPr/>
        <w:t xml:space="preserve"> of indels </w:t>
      </w:r>
      <w:r>
        <w:rPr>
          <w:highlight w:val="yellow"/>
        </w:rPr>
        <w:t>of &gt;=</w:t>
      </w:r>
      <w:r>
        <w:rPr/>
        <w:t xml:space="preserve"> 2 bases, compared to the </w:t>
      </w:r>
      <w:r>
        <w:rPr>
          <w:highlight w:val="yellow"/>
        </w:rPr>
        <w:t>xx</w:t>
      </w:r>
      <w:r>
        <w:rPr/>
        <w:t xml:space="preserve"> types distinguished by the Indel83 classification </w:t>
      </w:r>
    </w:p>
    <w:p>
      <w:pPr>
        <w:pStyle w:val="Normal"/>
        <w:rPr/>
      </w:pPr>
      <w:r>
        <w:rPr/>
        <w:t>The single base deletions associated with AA provide an example of the advantages of each of the two indel classification systems. In the Indel83 system, the AA signature shows that the most common deletion of a single T occurs as V1TV2 &gt; V1V2, where V indicates any base other than T, and V1 need not be the same as V2. This is a distinction that Indel89’s AA signature does not capture. However, the Indel89 AA signature shows that deletions of T are usually associated with a flanking A, which one might hypothesize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Normal"/>
        <w:rPr/>
      </w:pPr>
      <w:r>
        <w:rPr/>
        <w:t xml:space="preserve">In this study, we analyzed somatic mutation data from over 7,000 tumor genomes across two large pan-cancer datasets: PCAWG (Pan-Cancer Analysis of Whole Genomes) (The ICGC/TCGA Pan-Cancer Analysis of Whole Genomes Consortium et al. 2020) and HMF (Hartwig Medical Foundation) (Priestley et al. 2019). Using hierarchical Dirichlet process and a non-negative matrix factorization </w:t>
      </w:r>
      <w:r>
        <w:rPr>
          <w:highlight w:val="magenta"/>
        </w:rPr>
        <w:t>approach, SigProfilerExtractor ,</w:t>
      </w:r>
      <w:r>
        <w:rPr/>
        <w:t xml:space="preserve"> we identified a comprehensive set of 33 I</w:t>
      </w:r>
      <w:r>
        <w:rPr>
          <w:rFonts w:hint="eastAsia"/>
        </w:rPr>
        <w:t>ndel</w:t>
      </w:r>
      <w:r>
        <w:rPr/>
        <w:t>83 mutational signatures and 41 I</w:t>
      </w:r>
      <w:r>
        <w:rPr>
          <w:rFonts w:hint="eastAsia"/>
        </w:rPr>
        <w:t>ndel</w:t>
      </w:r>
      <w:r>
        <w:rPr/>
        <w:t xml:space="preserve">89 mutational signatures. A signature was considered novel if it was not similar to any known </w:t>
      </w:r>
      <w:r>
        <w:rPr>
          <w:rFonts w:hint="eastAsia"/>
        </w:rPr>
        <w:t>Indel</w:t>
      </w:r>
      <w:r>
        <w:rPr/>
        <w:t xml:space="preserve"> signature or could not be reconstructed from them</w:t>
      </w:r>
      <w:r>
        <w:rPr>
          <w:rFonts w:hint="eastAsia"/>
        </w:rPr>
        <w:t xml:space="preserve"> (more details in Methods and Results)</w:t>
      </w:r>
      <w:r>
        <w:rPr/>
        <w:t>. To systematically compare the two signature catalogs, we developed and applied a new pipeline to match I</w:t>
      </w:r>
      <w:r>
        <w:rPr>
          <w:rFonts w:hint="eastAsia"/>
        </w:rPr>
        <w:t>ndel</w:t>
      </w:r>
      <w:r>
        <w:rPr/>
        <w:t>83 and I</w:t>
      </w:r>
      <w:r>
        <w:rPr>
          <w:rFonts w:hint="eastAsia"/>
        </w:rPr>
        <w:t>ndel</w:t>
      </w:r>
      <w:r>
        <w:rPr/>
        <w:t>89 signatures based on tumor samples with high signature proportions</w:t>
      </w:r>
      <w:r>
        <w:rPr>
          <w:rFonts w:hint="eastAsia"/>
        </w:rPr>
        <w:t xml:space="preserve"> and cosine similarities</w:t>
      </w:r>
      <w:r>
        <w:rPr/>
        <w:t>.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replication strand of each signature, providing insights into their underlying mutational processes. Experimental validation in a cells with deficient  ribonucleotide excision repair showed that transcription-associated mutagenesis by topoisomerase 1 at sites of ribonucleotides incorporated in genomic DNA generates previously unreported i</w:t>
      </w:r>
      <w:r>
        <w:rPr>
          <w:rFonts w:hint="eastAsia"/>
        </w:rPr>
        <w:t>ndel</w:t>
      </w:r>
      <w:r>
        <w:rPr/>
        <w:t xml:space="preserve"> signatures that we identified independently in both indel classification systems </w:t>
      </w:r>
      <w:r>
        <w:fldChar w:fldCharType="begin"/>
      </w:r>
      <w:r>
        <w:rPr/>
        <w:instrText xml:space="preserve">ADDIN ZOTERO_ITEM CSL_CITATION {"citationID":"MFFBVSS7","properties":{"formattedCitation":"(Cho et al. 2013; Takahashi et al. 2011; Lippert et al. 2011)","plainCitation":"(Cho et al. 2013; Takahashi et al. 2011; Lippert et al. 2011)","noteIndex":0},"citationItems":[{"id":"LB8OR9DJ/ukQFUg47","uris":["http://zotero.org/users/14858941/items/KPLSC8FP"],"itemData":{"id":923,"type":"article-journal","abstract":"Topoisomerase 1 (Top1) resolves transcription-associated supercoils by generating transient singlestrand breaks in DNA. Top1 activity in yeast is a major source of transcription-associated mutagenesis, generating a distinctive mutation signature characterized by deletions in short, tandem repeats. A similar signature is associated with the persistence of ribonucleoside monophosphates (rNMPs) in DNA, and it also depends on Top1 activity. There is only partial overlap, however, between Top1-dependent deletion hotspots identiﬁed in highly transcribed DNA and those associated with rNMPs, suggesting the existence of both rNMP-dependent and rNMP-independent events. Here, we present genetic studies conﬁrming that there are two distinct types of hotspots. Data suggest a novel model in which rNMP-dependent hotspots are generated by sequential Top1 reactions and are consistent with rNMP-independent hotspots reﬂecting processing of a trapped Top1 cleavage complex.","container-title":"DNA Repair","DOI":"10.1016/j.dnarep.2012.12.004","ISSN":"1568-7864","issue":"3","language":"en","license":"https://www.elsevier.com/tdm/userlicense/1.0/","note":"publisher: Elsevier BV","page":"205-211","source":"Crossref","title":"Two distinct mechanisms of Topoisomerase 1-dependent mutagenesis in yeast","volume":"12","author":[{"family":"Cho","given":"Jang-Eun"},{"family":"Kim","given":"Nayun"},{"family":"Li","given":"Yue C."},{"family":"Jinks-Robertson","given":"Sue"}],"issued":{"date-parts":[["2013",3]]}}},{"id":"LB8OR9DJ/HtA2qzeP","uris":["http://zotero.org/users/14858941/items/GHSS5QE7"],"itemData":{"id":924,"type":"article-journal","abstract":"High transcription is associated with genetic instability, notably increased spontaneous mutation rates, which is a phenomenon termed Transcription-Associated-Mutagenesis (TAM). In this study, we investigated TAM using the chromosomal            CAN1            gene under the transcriptional control of two strong and inducible promoters (            pGAL1            and            pTET            ) in            Saccharomyces cerevisiae            . Both            pTET            - and            pGAL1            -driven high transcription at the            CAN1            gene result in enhanced spontaneous mutation rates. Comparison of both promoters reveals differences in the type of mutagenesis, except for short (−2 and −3 nt) deletions, which depend only on the level of transcription. This mutation type, characteristic of TAM, is sequence dependent, occurring prefentially at di- and trinucleotides repeats, notably at two mutational hotspots encompassing the same 5′-ACATAT-3′ sequence. To explore the mechanisms underlying the formation of short deletions in the course of TAM, we have determined Can            R            mutation spectra in yeast mutants affected in DNA metabolism. We identified topoisomerase 1-deficient strains (            top1            Δ) that specifically abolish the formation of short deletions under high transcription. The rate of the formation of (−2/−3nt) deletions is also reduced in the absence of            RAD1            and            MUS81            genes, involved in the repair of Top1p–DNA covalent complex. Furthermore ChIP analysis reveals an enrichment of trapped Top1p in the            CAN1            ORF under high transcription. We propose a model, in which the repair of trapped Top1p–DNA complexes provokes the formation of short deletion in            S. cerevisiae            . This study reveals unavoidable conflicts between Top1p and the transcriptional machinery and their potential impact on genome stability.","container-title":"Proceedings of the National Academy of Sciences","DOI":"10.1073/pnas.1012582108","ISSN":"0027-8424, 1091-6490","issue":"2","journalAbbreviation":"Proc. Natl. Acad. Sci. U.S.A.","language":"en","note":"publisher: Proceedings of the National Academy of Sciences","page":"692-697","source":"Crossref","title":"Topoisomerase 1 provokes the formation of short deletions in repeated sequences upon high transcription in            &lt;i&gt;Saccharomyces cerevisiae&lt;/i&gt;","volume":"108","author":[{"family":"Takahashi","given":"Diane T."},{"family":"Burguiere-Slezak","given":"Guenaelle"},{"family":"Van Der Kemp","given":"Patricia Auffret"},{"family":"Boiteux","given":"Serge"}],"issued":{"date-parts":[["2011",1,11]]}}},{"id":"LB8OR9DJ/W5BD7eUC","uris":["http://zotero.org/users/14858941/items/LUMLXEKM"],"itemData":{"id":922,"type":"article-journal","abstract":"High levels of transcription in            Saccharomyces cerevisiae            are associated with increased genetic instability, which has been linked to DNA damage. Here, we describe a            pGAL-CAN1            forward mutation assay for studying transcription-associated mutagenesis (TAM) in yeast. In a wild-type background with no alterations in DNA repair capacity, ≈50% of forward mutations that arise in the            CAN1            gene under high-transcription conditions are deletions of 2–5 bp. Furthermore, the deletions characteristic of TAM localize to discrete hotspots that coincide with 2–4 copies of a tandem repeat. Although the signature deletions of TAM are not affected by the loss of error-free or error-prone lesion bypass pathways, they are completely eliminated by deletion of the            TOP1            gene, which encodes the yeast type IB topoisomerase. Hotspots can be transposed into the context of a frameshift reversion assay, which is sensitive enough to detect Top1-dependent deletions even in the absence of high transcription. We suggest that the accumulation of Top1 cleavage complexes is related to the level of transcription and that their removal leads to the signature deletions. Given the high degree of conservation between DNA metabolic processes, the links established here among transcription, Top1, and mutagenesis are likely to extend beyond the yeast system.","container-title":"Proceedings of the National Academy of Sciences","DOI":"10.1073/pnas.1012363108","ISSN":"0027-8424, 1091-6490","issue":"2","journalAbbreviation":"Proc. Natl. Acad. Sci. U.S.A.","language":"en","note":"publisher: Proceedings of the National Academy of Sciences","page":"698-703","source":"Crossref","title":"Role for topoisomerase 1 in transcription-associated mutagenesis in yeast","volume":"108","author":[{"family":"Lippert","given":"Malcolm J."},{"family":"Kim","given":"Nayun"},{"family":"Cho","given":"Jang-Eun"},{"family":"Larson","given":"Ryan P."},{"family":"Schoenly","given":"Nathan E."},{"family":"O'Shea","given":"Shannon H."},{"family":"Jinks-Robertson","given":"Sue"}],"issued":{"date-parts":[["2011",1,11]]}}}],"schema":"https://github.com/citation-style-language/schema/raw/master/csl-citation.json"}</w:instrText>
      </w:r>
      <w:r>
        <w:rPr/>
      </w:r>
      <w:r>
        <w:rPr/>
        <w:fldChar w:fldCharType="separate"/>
      </w:r>
      <w:r>
        <w:rPr/>
        <w:t>(Cho et al. 2013; Takahashi et al. 2011; Lippert et al. 2011)</w:t>
      </w:r>
      <w:r>
        <w:rPr/>
      </w:r>
      <w:r>
        <w:rPr/>
        <w:fldChar w:fldCharType="end"/>
      </w:r>
      <w:r>
        <w:rPr/>
        <w:t xml:space="preserve"> Additionally, four novel signatures from both indel classifications systems occurred predominantly in the HMF dataset, due to its larger representation of tumors with microsatellite instability (MSI). Together, our analyses provide an expanded and detailed landscape of both I</w:t>
      </w:r>
      <w:r>
        <w:rPr>
          <w:rFonts w:hint="eastAsia"/>
        </w:rPr>
        <w:t>ndel</w:t>
      </w:r>
      <w:r>
        <w:rPr/>
        <w:t>83 and I</w:t>
      </w:r>
      <w:r>
        <w:rPr>
          <w:rFonts w:hint="eastAsia"/>
        </w:rPr>
        <w:t>ndel</w:t>
      </w:r>
      <w:r>
        <w:rPr/>
        <w:t>89 mutational signatures, comprehensively contributions to key cancer genes, as well as their replication timing, replication strand bias, and genic versus intergenic distributions.</w:t>
      </w:r>
    </w:p>
    <w:p>
      <w:pPr>
        <w:pStyle w:val="Heading1"/>
        <w:rPr/>
      </w:pPr>
      <w:r>
        <w:rPr/>
        <w:t>Results</w:t>
      </w:r>
    </w:p>
    <w:p>
      <w:pPr>
        <w:pStyle w:val="Heading2"/>
        <w:rPr/>
      </w:pPr>
      <w:r>
        <w:rPr/>
        <w:t>De novo ID mutational signature discovery from large cohorts with mSigHdp.</w:t>
      </w:r>
    </w:p>
    <w:p>
      <w:pPr>
        <w:pStyle w:val="normalfirst"/>
        <w:rPr/>
      </w:pPr>
      <w:r>
        <w:rPr>
          <w:highlight w:val="magenta"/>
        </w:rPr>
        <w:t>W</w:t>
      </w:r>
      <w:r>
        <w:rPr/>
        <w:t>e extracted mutational signatures from XXXX tumors representing XXX cancer types using a method based on two very different algorithms. One, SigProfilerExtractor, is based on nonnegative matrix factorization (NMF)</w:t>
      </w:r>
      <w:r>
        <w:fldChar w:fldCharType="begin"/>
      </w:r>
      <w:r>
        <w:rPr/>
        <w:instrText xml:space="preserve">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rPr/>
      </w:r>
      <w:r>
        <w:rPr/>
        <w:fldChar w:fldCharType="separate"/>
      </w:r>
      <w:r>
        <w:rPr/>
        <w:t>(Islam et al. 2022)</w:t>
      </w:r>
      <w:r>
        <w:rPr/>
      </w:r>
      <w:r>
        <w:rPr/>
        <w:fldChar w:fldCharType="end"/>
      </w:r>
      <w:r>
        <w:rPr/>
        <w:t xml:space="preserve">, and the other, mSigHdp, is based on hierarchical Dirichlet processes </w:t>
      </w:r>
      <w:r>
        <w:fldChar w:fldCharType="begin"/>
      </w:r>
      <w:r>
        <w:rPr/>
        <w:instrText xml:space="preserve">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r>
      <w:r>
        <w:rPr/>
        <w:fldChar w:fldCharType="separate"/>
      </w:r>
      <w:r>
        <w:rPr/>
        <w:t>(Liu et al. 2023)</w:t>
      </w:r>
      <w:r>
        <w:rPr/>
      </w:r>
      <w:r>
        <w:rPr/>
        <w:fldChar w:fldCharType="end"/>
      </w:r>
      <w:r>
        <w:rPr/>
        <w:t xml:space="preserve">. </w:t>
      </w:r>
    </w:p>
    <w:p>
      <w:pPr>
        <w:pStyle w:val="Normal"/>
        <w:rPr/>
      </w:pPr>
      <w:r>
        <w:rPr>
          <w:highlight w:val="yellow"/>
        </w:rPr>
        <w:t>&lt;rationale&gt;</w:t>
      </w:r>
      <w:r>
        <w:rPr/>
        <w:t xml:space="preserve"> Although Non-negative Matrix Factorization (NMF) is widely used for in-silico signature discovery, complementary approaches based on hierarchical Dirichlet process may offer advantages. In particular, the R package mSigHdp (mutational signatures from hierarchical Dirichlet processes) had better benchmarking results on mutational signature discovery in synthetic </w:t>
      </w:r>
      <w:r>
        <w:rPr>
          <w:rFonts w:hint="eastAsia"/>
        </w:rPr>
        <w:t>Indel</w:t>
      </w:r>
      <w:r>
        <w:rPr/>
        <w:t xml:space="preserve"> (and SBS) data </w:t>
      </w:r>
      <w:r>
        <w:fldChar w:fldCharType="begin"/>
      </w:r>
      <w:r>
        <w:rPr/>
        <w:instrText xml:space="preserve">ADDIN ZOTERO_ITEM CSL_CITATION {"citationID":"dwAhLIGu","properties":{"formattedCitation":"(Liu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r>
      <w:r>
        <w:rPr/>
        <w:fldChar w:fldCharType="separate"/>
      </w:r>
      <w:r>
        <w:rPr/>
        <w:t>(Liu et al. 2023)</w:t>
      </w:r>
      <w:r>
        <w:rPr/>
      </w:r>
      <w:r>
        <w:rPr/>
        <w:fldChar w:fldCharType="end"/>
      </w:r>
      <w:r>
        <w:rPr/>
        <w:t>. In addition, mSigHdp’s model directly infers a posterior distribution of the number of signatures present in a data set, while by contrast, NMF based approaches sometimes struggle with determining the number of signatures present</w:t>
      </w:r>
      <w:r>
        <w:rPr>
          <w:rFonts w:hint="eastAsia"/>
        </w:rPr>
        <w:t xml:space="preserve"> (more details in Discussion)</w:t>
      </w:r>
      <w:r>
        <w:rPr/>
        <w:t>.</w:t>
      </w:r>
    </w:p>
    <w:p>
      <w:pPr>
        <w:pStyle w:val="Normal"/>
        <w:rPr/>
      </w:pPr>
      <w:r>
        <w:rPr/>
        <w:t xml:space="preserve">In this study, we applied mSigHdp to identify mutational signatures from whole-genome somatic mutations across 7,013 tumors, including 2,780 from the PCAWG consortium and 4,233 from the Hartwig Medical Foundation collection (The ICGC/TCGA Pan-Cancer Analysis of Whole Genomes Consortium et al., 2020; Priestley et al., 2019). Mutational catalogs were generated using both the established Indel83 classification and the more recent Indel89 taxonomy. </w:t>
      </w:r>
      <w:commentRangeStart w:id="5"/>
      <w:commentRangeStart w:id="6"/>
      <w:commentRangeStart w:id="7"/>
      <w:r>
        <w:rPr/>
        <w:t xml:space="preserve">Notably, we modified one category from Koh et al.’s original classification, expanding the 1 bp C deletion from </w:t>
      </w:r>
      <w:r>
        <w:rPr>
          <w:i/>
          <w:iCs/>
        </w:rPr>
        <w:t>C(6</w:t>
      </w:r>
      <w:r>
        <w:rPr>
          <w:rFonts w:hint="eastAsia"/>
          <w:i/>
          <w:iCs/>
        </w:rPr>
        <w:t>,</w:t>
      </w:r>
      <w:r>
        <w:rPr>
          <w:i/>
          <w:iCs/>
        </w:rPr>
        <w:t>9)</w:t>
      </w:r>
      <w:r>
        <w:rPr/>
        <w:t xml:space="preserve"> to </w:t>
      </w:r>
      <w:r>
        <w:rPr>
          <w:i/>
          <w:iCs/>
        </w:rPr>
        <w:t>C(6</w:t>
      </w:r>
      <w:r>
        <w:rPr>
          <w:rFonts w:hint="eastAsia"/>
          <w:i/>
          <w:iCs/>
        </w:rPr>
        <w:t>,</w:t>
      </w:r>
      <w:r>
        <w:rPr>
          <w:i/>
          <w:iCs/>
        </w:rPr>
        <w:t>)</w:t>
      </w:r>
      <w:r>
        <w:rPr/>
        <w:t>, as we observed 1 bp C deletions from polyC tracts as long as 10–15 bp in 853 samples within our dataset.</w:t>
      </w:r>
      <w:r>
        <w:rPr>
          <w:rFonts w:hint="eastAsia"/>
        </w:rPr>
        <w:t xml:space="preserve"> </w:t>
      </w:r>
      <w:r>
        <w:rPr>
          <w:rFonts w:hint="eastAsia"/>
        </w:rPr>
      </w:r>
      <w:commentRangeEnd w:id="7"/>
      <w:r>
        <w:commentReference w:id="7"/>
      </w:r>
      <w:r>
        <w:rPr>
          <w:rFonts w:hint="eastAsia"/>
        </w:rPr>
      </w:r>
      <w:commentRangeEnd w:id="6"/>
      <w:r>
        <w:commentReference w:id="6"/>
      </w:r>
      <w:r>
        <w:rPr>
          <w:rFonts w:hint="eastAsia"/>
        </w:rPr>
      </w:r>
      <w:commentRangeEnd w:id="5"/>
      <w:r>
        <w:commentReference w:id="5"/>
      </w:r>
      <w:r>
        <w:rPr/>
        <w:t>Our de novo signature discovery followed a three-step approach:</w:t>
      </w:r>
    </w:p>
    <w:p>
      <w:pPr>
        <w:pStyle w:val="ListParagraph"/>
        <w:numPr>
          <w:ilvl w:val="0"/>
          <w:numId w:val="2"/>
        </w:numPr>
        <w:ind w:firstLineChars="0" w:firstLine="420"/>
        <w:rPr/>
      </w:pPr>
      <w:r>
        <w:rPr/>
        <w:t>Extraction of ID signatures was performed in three ways for each of the classification systems: (a) across all tumors combined, (b) across tumors with high tumor mutation burdens (TMB; see Methods for details), and (c) separately within each tumor type to detect tumor-specific rare signatures.</w:t>
      </w:r>
    </w:p>
    <w:p>
      <w:pPr>
        <w:pStyle w:val="ListParagraph"/>
        <w:numPr>
          <w:ilvl w:val="0"/>
          <w:numId w:val="2"/>
        </w:numPr>
        <w:ind w:firstLineChars="0" w:firstLine="420"/>
        <w:rPr/>
      </w:pPr>
      <w:r>
        <w:rPr/>
        <w:t>Highly similar signatures from all extractions were consolidated, and those reconstructible by other signatures were removed</w:t>
      </w:r>
      <w:r>
        <w:rPr>
          <w:rFonts w:hint="eastAsia"/>
        </w:rPr>
        <w:t xml:space="preserve"> (Methods)</w:t>
      </w:r>
      <w:r>
        <w:rPr/>
        <w:t>.</w:t>
      </w:r>
    </w:p>
    <w:p>
      <w:pPr>
        <w:pStyle w:val="ListParagraph"/>
        <w:numPr>
          <w:ilvl w:val="0"/>
          <w:numId w:val="2"/>
        </w:numPr>
        <w:ind w:firstLineChars="0" w:firstLine="420"/>
        <w:rPr/>
      </w:pPr>
      <w:r>
        <w:rPr/>
        <w:t xml:space="preserve">The resulting mSigHdp </w:t>
      </w:r>
      <w:r>
        <w:rPr>
          <w:rFonts w:hint="eastAsia"/>
        </w:rPr>
        <w:t xml:space="preserve">Indel83 </w:t>
      </w:r>
      <w:r>
        <w:rPr/>
        <w:t>signatures were compared to COSMIC v3.4 signatures and classified into three groups: (a) 18 signatures matching COSMIC v3.4 with cosine similarity &gt; 0.85 (designated "C_IDx," where x corresponds to the COSMIC ID; see Figure 2B and Figure S1), (b) signatures reconstructible as combinations of multiple COSMIC signatures (</w:t>
      </w:r>
      <w:r>
        <w:rPr>
          <w:rFonts w:hint="eastAsia"/>
        </w:rPr>
        <w:t>Methods</w:t>
      </w:r>
      <w:r>
        <w:rPr/>
        <w:t xml:space="preserve">), and (c) 15 novel signatures not fitting these categories, labeled "H_IDx" starting from ID24, as COSMIC v3.4 ends at ID23 (Figure 2C). All novel signatures are supported by at least one sample, reinforcing their biological relevance </w:t>
      </w:r>
      <w:r>
        <w:rPr>
          <w:rFonts w:hint="eastAsia"/>
        </w:rPr>
        <w:t>(Vignettes</w:t>
      </w:r>
      <w:r>
        <w:rPr/>
        <w:t>)</w:t>
      </w:r>
      <w:r>
        <w:rPr>
          <w:rFonts w:hint="eastAsia"/>
        </w:rPr>
        <w:t xml:space="preserve">; </w:t>
      </w:r>
      <w:r>
        <w:rPr/>
        <w:t>Indel89 signatures were named according to their corresponding Indel83 signatures (designated as InsDelx for matches to C_IDx or H_IDx</w:t>
      </w:r>
      <w:r>
        <w:rPr>
          <w:rFonts w:hint="eastAsia"/>
        </w:rPr>
        <w:t xml:space="preserve">, details in Methods, </w:t>
      </w:r>
      <w:r>
        <w:rPr>
          <w:rFonts w:hint="eastAsia"/>
          <w:highlight w:val="lightGray"/>
        </w:rPr>
        <w:t>Vignettes</w:t>
      </w:r>
      <w:r>
        <w:rPr/>
        <w:t>). If multiple Indel89 signatures mapped to a single Indel83 signature, they were named InsDelx_a, InsDelx_b, and so forth.</w:t>
      </w:r>
      <w:r>
        <w:rPr>
          <w:rFonts w:hint="eastAsia"/>
        </w:rPr>
        <w:t xml:space="preserve"> </w:t>
      </w:r>
    </w:p>
    <w:p>
      <w:pPr>
        <w:pStyle w:val="Normal"/>
        <w:rPr/>
      </w:pPr>
      <w:r>
        <w:rPr/>
        <w:t>Our analysis primarily focuses on groups (a) and (c). Overall, we identified 33 distinct Indel83 signatures and 41 Indel89 signatures (</w:t>
      </w:r>
      <w:r>
        <w:rPr>
          <w:rFonts w:hint="eastAsia"/>
        </w:rPr>
        <w:t>Figure</w:t>
      </w:r>
      <w:r>
        <w:rPr/>
        <w:t>s</w:t>
      </w:r>
      <w:r>
        <w:rPr>
          <w:rFonts w:hint="eastAsia"/>
        </w:rPr>
        <w:t xml:space="preserve"> 2</w:t>
      </w:r>
      <w:r>
        <w:rPr/>
        <w:t xml:space="preserve">, </w:t>
      </w:r>
      <w:r>
        <w:rPr>
          <w:rFonts w:hint="eastAsia"/>
        </w:rPr>
        <w:t>3</w:t>
      </w:r>
      <w:r>
        <w:rPr/>
        <w:t>).</w:t>
      </w:r>
    </w:p>
    <w:p>
      <w:pPr>
        <w:pStyle w:val="Heading2"/>
        <w:rPr/>
      </w:pPr>
      <w:r>
        <w:rPr/>
        <w:t>Previously reported COSMIC Indel83 signatures</w:t>
      </w:r>
    </w:p>
    <w:p>
      <w:pPr>
        <w:pStyle w:val="Normal"/>
        <w:rPr/>
      </w:pPr>
      <w:r>
        <w:rPr/>
        <w:t>The mSigHdp analysis successfully re-identified signatures similar to 18 of the 23 COSMIC (v3.4) Indel83 signatures</w:t>
      </w:r>
      <w:r>
        <w:rPr>
          <w:rFonts w:hint="eastAsia"/>
        </w:rPr>
        <w:t xml:space="preserve"> (C_ID1 to C_ID23 in Figure2)</w:t>
      </w:r>
      <w:r>
        <w:rPr/>
        <w:t>. The remaining five COSMIC signatures (ID15, ID16, ID20, ID21, and ID22) were not detected, as they are absent from the PCAWG dataset. The ability of mSigHdp to recover all COSMIC signatures present in PCAWG highlights its robustness for mutational signature analysis.</w:t>
      </w:r>
    </w:p>
    <w:p>
      <w:pPr>
        <w:pStyle w:val="Normal"/>
        <w:rPr/>
      </w:pPr>
      <w:r>
        <w:rPr/>
        <w:t>Since Indel89 signatures are not catalogued in COSMIC, we compared our Indel89 signatures to the 37 InD signatures reported by Koh et al., 2025. Of these, 21 were recapitulated in our analysis, while 10 were not identified—either due to being artefactual or absent from the PCAWG or HMF datasets. An additional six Koh et al. signatures could be reconstructed using our Indel89 signatures (see Methods and Table S</w:t>
      </w:r>
      <w:r>
        <w:rPr>
          <w:rFonts w:hint="eastAsia"/>
        </w:rPr>
        <w:t>1</w:t>
      </w:r>
      <w:r>
        <w:rPr/>
        <w:t xml:space="preserve">). Beyond the signatures reported by Koh et al., we identified 23 Indel89 signatures: 12 </w:t>
      </w:r>
      <w:r>
        <w:rPr>
          <w:rFonts w:hint="eastAsia"/>
        </w:rPr>
        <w:t xml:space="preserve">signatures </w:t>
      </w:r>
      <w:r>
        <w:rPr/>
        <w:t>map to COSMIC Indel83 signatures, 10 correspond to the novel Indel83 signatures, and one does not align with any Indel83 signature</w:t>
      </w:r>
      <w:r>
        <w:rPr>
          <w:rFonts w:hint="eastAsia"/>
        </w:rPr>
        <w:t xml:space="preserve"> (Table 1)</w:t>
      </w:r>
      <w:r>
        <w:rPr/>
        <w:t>.</w:t>
      </w:r>
    </w:p>
    <w:p>
      <w:pPr>
        <w:pStyle w:val="Normal"/>
        <w:rPr/>
      </w:pPr>
      <w:r>
        <w:rPr/>
        <w:t>Notably, there were nuanced differences between some COSMIC signatures and those extracted by mSigHdp, with our mSigHdp-derived signatures often providing more biologically plausible characterizations:</w:t>
      </w:r>
    </w:p>
    <w:p>
      <w:pPr>
        <w:pStyle w:val="Normal"/>
        <w:rPr/>
      </w:pPr>
      <w:r>
        <w:rPr/>
        <w:t xml:space="preserve">(1) </w:t>
      </w:r>
      <w:r>
        <w:rPr>
          <w:rFonts w:hint="eastAsia"/>
        </w:rPr>
        <w:t xml:space="preserve">ID9: </w:t>
      </w:r>
      <w:r>
        <w:rPr/>
        <w:t xml:space="preserve">Unlike C_ID9 in our extraction, the COSMIC ID9 signature shows a near-absence of the DEL:1:T:5+ motif (Figure S1), despite DEL:1:T:5+ mutations being common in all tumors exhibiting ID9. Biologically, a process removing single thymine bases from polyT tracts of 1–4 bp would likely also operate on longer polyT stretches. The </w:t>
      </w:r>
      <w:r>
        <w:rPr>
          <w:rFonts w:hint="eastAsia"/>
        </w:rPr>
        <w:t>Indel89</w:t>
      </w:r>
      <w:r>
        <w:rPr/>
        <w:t xml:space="preserve"> classification supports this, as InsDel9 captures 1 bp T deletions from polyT sequences ranging from 1–9 bp. Similarly, </w:t>
      </w:r>
      <w:r>
        <w:rPr>
          <w:rFonts w:hint="eastAsia"/>
        </w:rPr>
        <w:t>we identified InsDel9 (</w:t>
      </w:r>
      <w:r>
        <w:rPr/>
        <w:t xml:space="preserve">comparable to </w:t>
      </w:r>
      <w:r>
        <w:rPr>
          <w:rFonts w:hint="eastAsia"/>
        </w:rPr>
        <w:t>Koh et al</w:t>
      </w:r>
      <w:r>
        <w:rPr/>
        <w:t>’</w:t>
      </w:r>
      <w:r>
        <w:rPr>
          <w:rFonts w:hint="eastAsia"/>
        </w:rPr>
        <w:t>s InD</w:t>
      </w:r>
      <w:r>
        <w:rPr/>
        <w:t>9</w:t>
      </w:r>
      <w:r>
        <w:rPr>
          <w:rFonts w:hint="eastAsia"/>
        </w:rPr>
        <w:t>b</w:t>
      </w:r>
      <w:r>
        <w:rPr/>
        <w:t>), which capture</w:t>
      </w:r>
      <w:r>
        <w:rPr>
          <w:rFonts w:hint="eastAsia"/>
        </w:rPr>
        <w:t>s</w:t>
      </w:r>
      <w:r>
        <w:rPr/>
        <w:t xml:space="preserve"> the depletion 1 bp T across polyT tracts of various lengths</w:t>
      </w:r>
      <w:r>
        <w:rPr>
          <w:rFonts w:hint="eastAsia"/>
        </w:rPr>
        <w:t xml:space="preserve">.  </w:t>
      </w:r>
    </w:p>
    <w:p>
      <w:pPr>
        <w:pStyle w:val="Normal"/>
        <w:rPr/>
      </w:pPr>
      <w:r>
        <w:rPr/>
        <w:t xml:space="preserve">(2) ID5: The </w:t>
      </w:r>
      <w:r>
        <w:rPr>
          <w:rFonts w:hint="eastAsia"/>
        </w:rPr>
        <w:t xml:space="preserve">clock-like </w:t>
      </w:r>
      <w:r>
        <w:rPr/>
        <w:t>C_ID5 signature incorporates elements from both COSMIC ID5 and ID8, despite a cosine similarity of 0.9</w:t>
      </w:r>
      <w:r>
        <w:rPr>
          <w:rFonts w:hint="eastAsia"/>
        </w:rPr>
        <w:t>22</w:t>
      </w:r>
      <w:r>
        <w:rPr/>
        <w:t xml:space="preserve"> to COSMIC ID5</w:t>
      </w:r>
      <w:r>
        <w:rPr>
          <w:rFonts w:hint="eastAsia"/>
        </w:rPr>
        <w:t xml:space="preserve"> (Figure S2A,B)</w:t>
      </w:r>
      <w:r>
        <w:rPr/>
        <w:t>. Although the long deletion patterns are highly similar between ID5 and ID8, they exhibit distinct preferences in deletion length: ID5 primarily features long deletions less than 10 nt, with almost no deletions longer than 30 nt, while ID8 displays a more even distribution of deletions ranging from 5 to over 30 nt (</w:t>
      </w:r>
      <w:r>
        <w:rPr>
          <w:rFonts w:hint="eastAsia"/>
        </w:rPr>
        <w:t>Figure S2C</w:t>
      </w:r>
      <w:r>
        <w:rPr/>
        <w:t>)</w:t>
      </w:r>
      <w:r>
        <w:rPr>
          <w:rFonts w:hint="eastAsia"/>
        </w:rPr>
        <w:t xml:space="preserve">. </w:t>
      </w:r>
      <w:r>
        <w:rPr/>
        <w:t>Our analysis revealed no tumor samples supporting COSMIC ID5 in isolation</w:t>
      </w:r>
      <w:r>
        <w:rPr>
          <w:rFonts w:hint="eastAsia"/>
        </w:rPr>
        <w:t xml:space="preserve">, while </w:t>
      </w:r>
      <w:r>
        <w:rPr/>
        <w:t>we identified tumors that support C_ID8 alone (</w:t>
      </w:r>
      <w:r>
        <w:rPr>
          <w:rFonts w:hint="eastAsia"/>
        </w:rPr>
        <w:t>Figure S2D</w:t>
      </w:r>
      <w:r>
        <w:rPr/>
        <w:t>). We examined PCAWG tumors with reported ID5 activity from Alexandrov et al., finding that there is a high</w:t>
      </w:r>
      <w:r>
        <w:rPr>
          <w:rFonts w:hint="eastAsia"/>
        </w:rPr>
        <w:t xml:space="preserve"> correlation between ID5 activity and ID8 activity in most cancer types with both active ID5 and ID8 (Figure S2E)</w:t>
      </w:r>
      <w:r>
        <w:rPr/>
        <w:t>. These findings suggest that the mutational process represented by ID5 is also responsible for long deletions in these contexts.</w:t>
      </w:r>
      <w:r>
        <w:rPr>
          <w:rFonts w:hint="eastAsia"/>
        </w:rPr>
        <w:t xml:space="preserve"> </w:t>
      </w:r>
      <w:r>
        <w:rPr/>
        <w:t>Overall, our analysis indicates that C_ID5 provides a more comprehensive view of genomic alterations rather than simply merging ID5 and ID8.</w:t>
      </w:r>
      <w:r>
        <w:rPr>
          <w:rFonts w:hint="eastAsia"/>
        </w:rPr>
        <w:t xml:space="preserve"> </w:t>
      </w:r>
      <w:r>
        <w:rPr/>
        <w:t xml:space="preserve">Supporting this, the </w:t>
      </w:r>
      <w:r>
        <w:rPr>
          <w:rFonts w:hint="eastAsia"/>
        </w:rPr>
        <w:t>Indel89</w:t>
      </w:r>
      <w:r>
        <w:rPr/>
        <w:t xml:space="preserve"> signatures InsDel5a and InsDel5b show a high prevalence of long deletions and deletions within microhomologies, reinforcing the </w:t>
      </w:r>
      <w:r>
        <w:rPr>
          <w:rFonts w:hint="eastAsia"/>
        </w:rPr>
        <w:t>presence</w:t>
      </w:r>
      <w:r>
        <w:rPr/>
        <w:t xml:space="preserve"> of these features in C_ID5</w:t>
      </w:r>
      <w:r>
        <w:rPr>
          <w:rFonts w:hint="eastAsia"/>
        </w:rPr>
        <w:t xml:space="preserve"> (Figure 3). </w:t>
      </w:r>
    </w:p>
    <w:p>
      <w:pPr>
        <w:pStyle w:val="Normal"/>
        <w:rPr/>
      </w:pPr>
      <w:r>
        <w:rPr/>
        <w:t xml:space="preserve">(3) ID17: Compared to COSMIC ID17, </w:t>
      </w:r>
      <w:r>
        <w:rPr>
          <w:rFonts w:hint="eastAsia"/>
        </w:rPr>
        <w:t xml:space="preserve">we found that </w:t>
      </w:r>
      <w:r>
        <w:rP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rPr/>
        <w:t xml:space="preserve">7 signature demonstrates a closer resemblance to the ID_TOP2A signature identified by Boot et al. than to COSMIC ID17 (Figure </w:t>
      </w:r>
      <w:r>
        <w:rPr>
          <w:rFonts w:hint="eastAsia"/>
        </w:rPr>
        <w:t>S3A, B</w:t>
      </w:r>
      <w:r>
        <w:rPr/>
        <w:t>, cosine similarity = 0.982).</w:t>
      </w:r>
    </w:p>
    <w:p>
      <w:pPr>
        <w:pStyle w:val="Heading2"/>
        <w:rPr/>
      </w:pPr>
      <w:r>
        <w:rPr/>
        <w:t>Signature activity</w:t>
      </w:r>
    </w:p>
    <w:p>
      <w:pPr>
        <w:pStyle w:val="Normal"/>
        <w:rPr/>
      </w:pPr>
      <w:r>
        <w:rPr/>
        <w:t xml:space="preserve">We evaluated the activity of </w:t>
      </w:r>
      <w:r>
        <w:rPr>
          <w:rFonts w:hint="eastAsia"/>
        </w:rPr>
        <w:t>33 Indel83 and 41 Indel89</w:t>
      </w:r>
      <w:r>
        <w:rPr/>
        <w:t xml:space="preserve"> signatures using mSigAct, a tool </w:t>
      </w:r>
      <w:r>
        <w:rPr>
          <w:rFonts w:hint="eastAsia"/>
        </w:rPr>
        <w:t xml:space="preserve">incorporating statistical analysis for the presence of a given signature </w:t>
      </w:r>
      <w:r>
        <w:fldChar w:fldCharType="begin"/>
      </w:r>
      <w:r>
        <w:rPr>
          <w:rFonts w:hint="eastAsia"/>
        </w:rPr>
        <w:instrText xml:space="preserve">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r>
      <w:r>
        <w:rPr>
          <w:rFonts w:hint="eastAsia"/>
        </w:rPr>
        <w:fldChar w:fldCharType="separate"/>
      </w:r>
      <w:r>
        <w:rPr>
          <w:rFonts w:hint="eastAsia"/>
        </w:rPr>
      </w:r>
      <w:r>
        <w:rPr/>
        <w:t>(Jiang et al. 2024)</w:t>
      </w:r>
      <w:r>
        <w:rPr>
          <w:rFonts w:hint="eastAsia"/>
        </w:rPr>
      </w:r>
      <w:r>
        <w:rPr>
          <w:rFonts w:hint="eastAsia"/>
        </w:rPr>
        <w:fldChar w:fldCharType="end"/>
      </w:r>
      <w:r>
        <w:rPr/>
        <w:t xml:space="preserve">. </w:t>
      </w:r>
      <w:commentRangeStart w:id="8"/>
      <w:r>
        <w:rPr/>
        <w:t xml:space="preserve">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specialized for Indel83 spectra</w:t>
      </w:r>
      <w:r>
        <w:rPr>
          <w:rFonts w:hint="eastAsia"/>
        </w:rPr>
      </w:r>
      <w:commentRangeEnd w:id="8"/>
      <w:r>
        <w:commentReference w:id="8"/>
      </w:r>
      <w:r>
        <w:rPr>
          <w:rFonts w:hint="eastAsia"/>
        </w:rPr>
        <w: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H_ID24 and H_ID25, which were prevalent across a wide range of cancers (Figure </w:t>
      </w:r>
      <w:r>
        <w:rPr>
          <w:rFonts w:hint="eastAsia"/>
        </w:rPr>
        <w:t>4b</w:t>
      </w:r>
      <w:r>
        <w:rPr/>
        <w:t>). Indel89 signature assignments revealed strong concordance with Indel83 signatures when a one-to-one mapping was present. When an Indel83 signature was represented by multiple Indel89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InDel89 signatures can distinguish more nuanced mutational processes—showing distinct correlation patterns </w:t>
      </w:r>
      <w:r>
        <w:rPr>
          <w:rFonts w:hint="eastAsia"/>
        </w:rPr>
        <w:t>with SBS signatures</w:t>
      </w:r>
      <w:r>
        <w:rPr/>
        <w:t>—highlighting the greater resolution and specificity provided by the InDel89 taxonomy compared to InDel83. Unsupervised hierarchical clustering (see Methods) grouped mutational signatures into distinct biological modules. The APOBEC cluster (SBS2 and SBS13) showed moderate correlations with InsDel24b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H_ID25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Notably, a strong correlation network was observed among mismatch repair (MMR) deficiency signatures, specifically linking SBS6, SBS26, SBS44, and a range of indel signatures including C_ID2, InsDel2b, InsDel2c, C_ID7, H_ID33, InsDel33, H_ID34, H_ID37, H_ID38, and InsDel38 (Figure 5, “MMR defects”).</w:t>
      </w:r>
      <w:r>
        <w:rPr>
          <w:rFonts w:hint="eastAsia"/>
        </w:rPr>
        <w:t xml:space="preserve"> </w:t>
      </w:r>
      <w:r>
        <w:rPr/>
        <w:t xml:space="preserve">The Indel89 taxonomy provided finer resolution of mutational processes. The four Indel89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H_ID27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We evaluated the interplay between our In</w:t>
      </w:r>
      <w:r>
        <w:rPr>
          <w:rFonts w:hint="eastAsia"/>
        </w:rPr>
        <w:t>d</w:t>
      </w:r>
      <w:r>
        <w:rPr/>
        <w:t xml:space="preserve">el83 signatures and certain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(add cite)</w:t>
      </w:r>
      <w:r>
        <w:rPr/>
        <w:t xml:space="preserve">. Transcription strand asymmetries were shown in 20 out of 33 Indel83 signatures (Figure </w:t>
      </w:r>
      <w:r>
        <w:rPr>
          <w:rFonts w:hint="eastAsia"/>
        </w:rPr>
        <w:t>6A &amp; S4C</w:t>
      </w:r>
      <w:r>
        <w:rPr/>
        <w:t xml:space="preserve">, Table </w:t>
      </w:r>
      <w:r>
        <w:rPr>
          <w:rFonts w:hint="eastAsia"/>
        </w:rPr>
        <w:t>S4</w:t>
      </w:r>
      <w:r>
        <w:rPr/>
        <w:t xml:space="preserve">). Signatures attributed to exogenous mutational processes, such as C_ID3 (Tobacco smoking exposure), C_ID14 (GI-platinum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Indel83 signatures associated with defective endogenous mutational processes, enriched mutations on the un-transcribed strand was observed for C_ID1(Slippage during DNA replication) and C_ID5(Clock-like signature), while enriched mutations on the transcribed strand was observed for C_ID29 (TOP1-mediated mutagenesis). Interestingly, 4 defective MMR signatures also showed transcription strand asymmetries in different directions, with two of them (H_ID33 and H_ID37) having enriched mutations on the un-transcribed strand, and two of them (H_ID7 and H_ID34) having enriched mutations on the transcribed strand. Replication strand asymmetries were observed in 18 out of 33 In</w:t>
      </w:r>
      <w:r>
        <w:rPr>
          <w:rFonts w:hint="eastAsia"/>
        </w:rPr>
        <w:t>d</w:t>
      </w:r>
      <w:r>
        <w:rPr/>
        <w:t xml:space="preserve">el83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(H_ID34) or on the lagging strand (C_ID7 and H_ID33).</w:t>
      </w:r>
    </w:p>
    <w:p>
      <w:pPr>
        <w:pStyle w:val="Normal"/>
        <w:rPr/>
      </w:pPr>
      <w:r>
        <w:rPr/>
        <w:t>We also examined the mutation enrichment of Indel83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H_ID29(TOP1-mediated mutagenesis), </w:t>
      </w:r>
      <w:r>
        <w:rPr>
          <w:rFonts w:hint="eastAsia"/>
        </w:rPr>
        <w:t>a</w:t>
      </w:r>
      <w:r>
        <w:rPr/>
        <w:t>nd 3 defective MMR signatures (C_ID7, H_ID33 and H_ID37). Another 3 signatures with mutation enriched in genic regions were of unknown etiology (C_ID10, H_ID30, H_ID31).</w:t>
      </w:r>
    </w:p>
    <w:p>
      <w:pPr>
        <w:pStyle w:val="Normal"/>
        <w:rPr/>
      </w:pPr>
      <w:r>
        <w:rPr/>
        <w:t>The effect of DNA replication timing was also observed in many Indel83 signatures</w:t>
      </w:r>
      <w:r>
        <w:rPr>
          <w:rFonts w:hint="eastAsia"/>
        </w:rPr>
        <w:t xml:space="preserve"> (Figure 6D &amp; S5)</w:t>
      </w:r>
      <w:r>
        <w:rPr/>
        <w:t>.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C_ID33 and C_ID34 showed enriched mutations in early replication regions in breast cancer, while C_ID37 and C_ID38 showed this enrichment in colon cancer and stomach cancer, respectively.</w:t>
      </w:r>
    </w:p>
    <w:p>
      <w:pPr>
        <w:pStyle w:val="Heading2"/>
        <w:rPr/>
      </w:pPr>
      <w:r>
        <w:rPr/>
        <w:t>Novel Signatures</w:t>
      </w:r>
    </w:p>
    <w:p>
      <w:pPr>
        <w:pStyle w:val="Normal"/>
        <w:rPr/>
      </w:pPr>
      <w:r>
        <w:rPr/>
        <w:t>M</w:t>
      </w:r>
      <w:r>
        <w:rPr>
          <w:rFonts w:hint="eastAsia"/>
        </w:rPr>
        <w:t>icrosatellite Instability associated</w:t>
      </w:r>
      <w:r>
        <w:rPr/>
        <w:t xml:space="preserve"> signatures in both Indel83 and Indel89 classifications</w:t>
      </w:r>
    </w:p>
    <w:p>
      <w:pPr>
        <w:pStyle w:val="Normal"/>
        <w:rPr/>
      </w:pPr>
      <w:r>
        <w:rPr>
          <w:highlight w:val="yellow"/>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r>
        <w:fldChar w:fldCharType="begin"/>
      </w:r>
      <w:r>
        <w:rPr>
          <w:rFonts w:hint="eastAsia"/>
        </w:rPr>
        <w:instrText xml:space="preserve">ADDIN ZOTERO_ITEM CSL_CITATION {"citationID":"e2clggfU","properties":{"formattedCitation":"(Mart\\uc0\\u237{}nez-Jim\\uc0\\u233{}nez et al. 2023; Bavi et al. 2020)","plainCitation":"(Martínez-Jiménez et al. 2023; Bavi et al. 2020)","noteIndex":0},"citationItems":[{"id":"LB8OR9DJ/hfxcak8g","uris":["http://zotero.org/users/14858941/items/7KY3QWQK"],"itemData":{"id":912,"type":"article-journal","abstract":"Abstract\n            \n              Metastatic cancer remains an almost inevitably lethal disease\n              1–3\n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tumours","volume":"618","author":[{"family":"Martínez-Jiménez","given":"Francisco"},{"family":"Movasati","given":"Ali"},{"family":"Brunner","given":"Sascha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J."},{"family":"Campo","given":"Elias"},{"family":"Cantù","given":"Cinzia"},{"family":"Cao","given":"Shaolong"},{"family":"Carey","given":"Thomas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é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M."},{"family":"Cortés-Ciriano","given":"Isidro"},{"family":"Covington","given":"Kyle"},{"family":"Cowin","given":"Prue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M."},{"family":"Demircioğlu","given":"Deniz"},{"family":"Dennis","given":"Nening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Andrew"},{"family":"Füllgrabe","given":"Anja"},{"family":"Gabriel","given":"Stacey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J."},{"family":"Heredia-Genestar","given":"José María"},{"family":"Herrmann","given":"Carl"},{"family":"Hersey","given":"Peter"},{"family":"Hess","given":"Julian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M."},{"family":"Hübschmann","given":"Daniel"},{"family":"Iacobuzio-Donahue","given":"Christine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Jeong"},{"family":"Karlan","given":"Beth"},{"family":"Karlić","given":"Rosa"},{"family":"Karsch","given":"Dennis"},{"family":"Kasaian","given":"Katayoon"},{"family":"Kassahn","given":"Karin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übler","given":"Kirsten"},{"family":"Kü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ós","given":"André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G."},{"family":"Lype","given":"Lisa"},{"family":"López","given":"Cristina"},{"family":"López-Otín","given":"Carlos"},{"family":"Ma","given":"Eric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J."},{"family":"Miyano","given":"Satoru"},{"family":"Miyoshi","given":"Naoki"},{"family":"Mizuno","given":"Shinichi"},{"family":"Molnár-Gábor","given":"Fruzsina"},{"family":"Moore","given":"Malcolm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A."},{"family":"Notta","given":"Faiyaz"},{"family":"O’Connor","given":"Brian D."},{"family":"O’Donnell","given":"Peter"},{"family":"O’Donovan","given":"Maria"},{"family":"O’Meara","given":"Sarah"},{"family":"O’Neill","given":"Brian Patrick"},{"family":"O’Neill","given":"J.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L."},{"family":"Pass","given":"Harvey"},{"family":"Pasternack","given":"Danielle"},{"family":"Pastore","given":"Alessandro"},{"family":"Patch","given":"Ann-Marie"},{"family":"Pauporté","given":"Iris"},{"family":"Pearson","given":"John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á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S."},{"family":"Puig","given":"Sonia"},{"family":"Puiggròs","given":"Montserrat"},{"family":"Pulido-Tamayo","given":"Sergio"},{"family":"Pupo","given":"Gulietta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Kimryn"},{"family":"Rausch","given":"Tobias"},{"family":"Reifenberger","given":"Guido"},{"family":"Reimand","given":"Jüri"},{"family":"Reis-Filho","given":"Jorge"},{"family":"Reuter","given":"Victor"},{"family":"Reyes-Salazar","given":"Iker"},{"family":"Reyna","given":"Matthew A."},{"family":"Reynolds","given":"Sheila M."},{"family":"Rheinbay","given":"Esther"},{"family":"Riazalhosseini","given":"Yasser"},{"family":"Richardson","given":"Andrea L."},{"family":"Richter","given":"Julia"},{"family":"Ringel","given":"Matthew"},{"family":"Ringnér","given":"Markus"},{"family":"Rino","given":"Yasushi"},{"family":"Rippe","given":"Karsten"},{"family":"Roach","given":"Jeffrey"},{"family":"Roberts","given":"Lewis R."},{"family":"Roberts","given":"Nicola D."},{"family":"Roberts","given":"Steven A."},{"family":"Robertson","given":"A. Gordon"},{"family":"Robertson","given":"Alan J."},{"family":"Rodriguez","given":"Javier Bartolomé"},{"family":"Rodriguez-Martin","given":"Bernardo"},{"family":"Rodríguez-González","given":"F. Germán"},{"family":"Rohde","given":"Marius"},{"family":"Rokutan","given":"Hirofumi"},{"family":"Rooman","given":"Ilse"},{"family":"Roques","given":"Tom"},{"family":"Rosebrock","given":"Daniel"},{"family":"Rosenberg","given":"Mara"},{"family":"Rosenstiel","given":"Philip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G."},{"family":"Stebbings","given":"Lucy"},{"family":"Stefánsson","given":"Ólafur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ü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L."},{"family":"Tatsuno","given":"Kenji"},{"family":"Tavaré","given":"Simon"},{"family":"Taylor","given":"Darrin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émi"},{"family":"Trü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J."},{"family":"Urushidate","given":"Tomoko"},{"family":"Ushiku","given":"Tetsuo"},{"family":"Uusküla-Reimand","given":"Liis"},{"family":"Valencia","given":"Alfonso"},{"family":"Van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E."},{"family":"Villasante","given":"Izar"},{"family":"Vincent-Salomon","given":"Anne"},{"family":"Voet","given":"Douglas"},{"family":"Vázquez-García","given":"Ignacio"},{"family":"Waddell","given":"Nick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de"},{"family":"Veer","given":"L.","non-dropping-particle":"van’t"},{"family":"Mering","given":"Christian","non-dropping-particle":"von"}],"issued":{"date-parts":[["2020",2,6]]}}}],"schema":"https://github.com/citation-style-language/schema/raw/master/csl-citation.json"}</w:instrText>
      </w:r>
      <w:r>
        <w:rPr>
          <w:rFonts w:hint="eastAsia"/>
        </w:rPr>
      </w:r>
      <w:r>
        <w:rPr>
          <w:rFonts w:hint="eastAsia"/>
        </w:rPr>
        <w:fldChar w:fldCharType="separate"/>
      </w:r>
      <w:r>
        <w:rPr>
          <w:rFonts w:hint="eastAsia"/>
        </w:rPr>
      </w:r>
      <w:r>
        <w:rPr/>
        <w:t>(Martínez-Jiménez et al. 2023; Bavi et al. 2020)</w:t>
      </w:r>
      <w:r>
        <w:rPr>
          <w:rFonts w:hint="eastAsia"/>
        </w:rPr>
      </w:r>
      <w:r>
        <w:rPr>
          <w:rFonts w:hint="eastAsia"/>
        </w:rPr>
        <w:fldChar w:fldCharType="end"/>
      </w:r>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Indel83 signatures and their six corresponding Indel89 signatures associated with MSI: C_ID2 (InsDel2b &amp; InsDel2c</w:t>
      </w:r>
      <w:r>
        <w:rPr>
          <w:rFonts w:hint="eastAsia"/>
        </w:rPr>
        <w:t>, Figure 7A</w:t>
      </w:r>
      <w:r>
        <w:rPr/>
        <w:t>), C_ID7 (InsDel7</w:t>
      </w:r>
      <w:r>
        <w:rPr>
          <w:rFonts w:hint="eastAsia"/>
        </w:rPr>
        <w:t>, Figure 7B</w:t>
      </w:r>
      <w:r>
        <w:rPr/>
        <w:t xml:space="preserve">), </w:t>
      </w:r>
      <w:commentRangeStart w:id="9"/>
      <w:r>
        <w:rPr/>
        <w:t xml:space="preserve">H_ID33 </w:t>
      </w:r>
      <w:r>
        <w:rPr/>
      </w:r>
      <w:commentRangeEnd w:id="9"/>
      <w:r>
        <w:commentReference w:id="9"/>
      </w:r>
      <w:r>
        <w:rPr/>
        <w:t>and H_ID37 (InsDel33</w:t>
      </w:r>
      <w:r>
        <w:rPr>
          <w:rFonts w:hint="eastAsia"/>
        </w:rPr>
        <w:t>, Figure 7C</w:t>
      </w:r>
      <w:r>
        <w:rPr/>
        <w:t>), H_ID34 (InsDel34</w:t>
      </w:r>
      <w:r>
        <w:rPr>
          <w:rFonts w:hint="eastAsia"/>
        </w:rPr>
        <w:t>, Figure 7D</w:t>
      </w:r>
      <w:r>
        <w:rPr/>
        <w:t>), and H_ID38 (InsDel38</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H_ID33, H_ID37, and C_ID7 all display &gt;1 bp deletions at repeat sequences, but are associated with distinct indel types</w:t>
      </w:r>
      <w:r>
        <w:rPr>
          <w:rFonts w:hint="eastAsia"/>
        </w:rPr>
        <w:t>:</w:t>
      </w:r>
      <w:r>
        <w:rPr/>
        <w:t xml:space="preserve"> C_ID7 is mainly defined by single-base deletions of C or T from long homopolymer tracts. H_ID33 predominantly reflects TT deletions from 4–5 TT repeats, while H_ID37 is associated with TTT deletions from 3 TTT repeats (Figure S</w:t>
      </w:r>
      <w:r>
        <w:rPr>
          <w:rFonts w:hint="eastAsia"/>
        </w:rPr>
        <w:t>6D&amp;E</w:t>
      </w:r>
      <w:r>
        <w:rPr/>
        <w:t>). Although H_ID33 and H_ID37 both describe similar patterns, H_ID37 is found exclusively in tumors with high C_ID2 activity, whereas H_ID33 more commonly co-occurs with C_ID2 (Figure S</w:t>
      </w:r>
      <w:r>
        <w:rPr>
          <w:rFonts w:hint="eastAsia"/>
        </w:rPr>
        <w:t>6C</w:t>
      </w:r>
      <w:r>
        <w:rPr/>
        <w:t>). Analysis of the corresponding Indel89 signatures revealed that InsDel33 captures the deletion patterns of both H_ID33 and H_ID37, characterized by a predominant peak at ‘L(2, ):U(1,2):R(5,9)’. Further examination showed that tumors with high H_ID33 activity predominantly exhibit TT deletions from long repeats, H_ID37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In contrast to the deletion-dominated signatures, H_ID38 is mainly characterized by insertions—specifically 1 bp and 2 bp events at long repeats. This signature is associated with two scenarios: in samples with low C_ID2 activity, H_ID38 predominantly involves TT insertions; in samples with low, but not depleted, C_ID2 activity, H_ID38 shows a higher proportion of AT/TA insertions (Figure S</w:t>
      </w:r>
      <w:r>
        <w:rPr>
          <w:rFonts w:hint="eastAsia"/>
        </w:rPr>
        <w:t>6F</w:t>
      </w:r>
      <w:r>
        <w:rPr/>
        <w:t>). Among the five MSI-associated signatures, only H_ID38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Indel83 and Indel89 signature profiles provide highly accurate detection of MSI status (Figure S6G &amp; H)</w:t>
      </w:r>
      <w:r>
        <w:rPr/>
        <w:t xml:space="preserve">. </w:t>
      </w:r>
    </w:p>
    <w:p>
      <w:pPr>
        <w:pStyle w:val="Normal"/>
        <w:rPr/>
      </w:pPr>
      <w:r>
        <w:rPr>
          <w:rFonts w:hint="eastAsia"/>
        </w:rPr>
        <w:t>A novel ID-TOP1 signature</w:t>
      </w:r>
    </w:p>
    <w:p>
      <w:pPr>
        <w:pStyle w:val="Normal"/>
        <w:rPr/>
      </w:pPr>
      <w:r>
        <w:rPr/>
        <w:t xml:space="preserve">We identified a novel pair of mutational signatures, H_ID29 and InsDel29, both characterized by 1–3 bp deletions from two repeats or microhomology, with strong support from both PCAWG and HMF samples (Figure </w:t>
      </w:r>
      <w:r>
        <w:rPr>
          <w:rFonts w:hint="eastAsia"/>
        </w:rPr>
        <w:t>8</w:t>
      </w:r>
      <w:r>
        <w:rPr/>
        <w:t xml:space="preserve">A, </w:t>
      </w:r>
      <w:r>
        <w:rPr>
          <w:rFonts w:hint="eastAsia"/>
        </w:rPr>
        <w:t>Figure S7</w:t>
      </w:r>
      <w:r>
        <w:rPr/>
        <w:t>). Notably, two PCAWG samples exhibited high H_ID29 activity: a skin melanoma genome (SP103894) with 3,772 H_ID29 mutations, and a breast cancer genome (SP5559) with 949 H_ID29 mutations</w:t>
      </w:r>
      <w:r>
        <w:rPr>
          <w:rFonts w:hint="eastAsia"/>
        </w:rPr>
        <w:t xml:space="preserve"> (Figure S7B)</w:t>
      </w:r>
      <w:r>
        <w:rPr/>
        <w:t xml:space="preserve">. The inclusion of additional samples enabled the detection of these rare signatures within the PCAWG dataset. </w:t>
      </w:r>
      <w:commentRangeStart w:id="10"/>
      <w:r>
        <w:rPr/>
        <w:t xml:space="preserve">Importantly, previous analyses often failed to extract ID4 and ID29 simultaneously, and frequently misclassified ID4 as ID-TOP1-TAM </w:t>
      </w:r>
      <w:r>
        <w:fldChar w:fldCharType="begin"/>
      </w:r>
      <w:r>
        <w:rPr/>
        <w:instrText xml:space="preserve">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rPr/>
      </w:r>
      <w:r>
        <w:rPr/>
        <w:fldChar w:fldCharType="separate"/>
      </w:r>
      <w:r>
        <w:rPr/>
        <w:t>(Jin et al. 2024; Koh et al. 2025; Reijns et al. 2022)</w:t>
      </w:r>
      <w:r>
        <w:rPr/>
      </w:r>
      <w:r>
        <w:rPr/>
        <w:fldChar w:fldCharType="end"/>
      </w:r>
      <w:r>
        <w:rPr/>
      </w:r>
      <w:commentRangeEnd w:id="10"/>
      <w:r>
        <w:commentReference w:id="10"/>
      </w:r>
      <w:r>
        <w:rPr/>
        <w:t xml:space="preserve">. Here, for the first time, we identified C_ID4 and H_ID29, along with their corresponding Indel89 representations (InsDel4a, InsDel4b, and InsDel29), using a de novo extraction approach. Compared to C_ID4, H_ID29 (corresponding to ID-TOP1-TAM) lacks signals representing the removal of 1–3 bp sequences from regions with more than three repeats or microhomologies. This pattern is also reflected in the Indel89 representations: InsDel4a and InsDel4b show a higher proportion of peaks at </w:t>
      </w:r>
      <w:r>
        <w:rPr>
          <w:i/>
          <w:iCs/>
        </w:rPr>
        <w:t>L(3,):U(3,):R(2,9)</w:t>
      </w:r>
      <w:r>
        <w:rPr/>
        <w:t xml:space="preserve">, while InsDel29 is dominated by the peak at </w:t>
      </w:r>
      <w:r>
        <w:rPr>
          <w:i/>
          <w:iCs/>
        </w:rPr>
        <w:t>L(2,8):U(1,2):R(2,4)</w:t>
      </w:r>
      <w:r>
        <w:rPr/>
        <w:t>.</w:t>
      </w:r>
    </w:p>
    <w:p>
      <w:pPr>
        <w:pStyle w:val="Normal"/>
        <w:rPr/>
      </w:pPr>
      <w:r>
        <w:rPr/>
        <w:t>Because Indel89 analysis is currently limited to human genomes (Koh et al., 2025), and due to the strong resemblance between InDel29 and InDel4a</w:t>
      </w:r>
      <w:r>
        <w:rPr>
          <w:rFonts w:hint="eastAsia"/>
        </w:rPr>
        <w:t>/4b</w:t>
      </w:r>
      <w:r>
        <w:rPr/>
        <w:t xml:space="preserve"> and their corresponding </w:t>
      </w:r>
      <w:r>
        <w:rPr>
          <w:rFonts w:hint="eastAsia"/>
        </w:rPr>
        <w:t>Indel83</w:t>
      </w:r>
      <w:r>
        <w:rPr/>
        <w:t xml:space="preserve"> signatures, we focused </w:t>
      </w:r>
      <w:r>
        <w:rPr>
          <w:rFonts w:hint="eastAsia"/>
        </w:rPr>
        <w:t xml:space="preserve">most of </w:t>
      </w:r>
      <w:r>
        <w:rPr/>
        <w:t>our subsequent analyses specifically on H_ID29.</w:t>
      </w:r>
      <w:r>
        <w:rPr>
          <w:rFonts w:hint="eastAsia"/>
        </w:rPr>
        <w:t xml:space="preserve"> </w:t>
      </w:r>
      <w:r>
        <w:rPr/>
        <w:t>Upon re-examining the rnh201Δ</w:t>
      </w:r>
      <w:r>
        <w:rPr>
          <w:rFonts w:hint="eastAsia"/>
        </w:rPr>
        <w:t xml:space="preserve"> </w:t>
      </w:r>
      <w:r>
        <w:rPr>
          <w:i/>
          <w:iCs/>
        </w:rPr>
        <w:t>Saccharomyces cerevisiae</w:t>
      </w:r>
      <w:r>
        <w:rPr/>
        <w:t xml:space="preserve"> genomes, we observed 2 bp deletion patterns similar to those of H_ID29, although deletions within microhomology were depleted (Williams et al. 2019; Conover et al. 2015</w:t>
      </w:r>
      <w:r>
        <w:rPr>
          <w:rFonts w:hint="eastAsia"/>
        </w:rPr>
        <w:t>, Figures S8</w:t>
      </w:r>
      <w:r>
        <w:rPr/>
        <w:t>).</w:t>
      </w:r>
      <w:r>
        <w:rPr>
          <w:rFonts w:hint="eastAsia"/>
        </w:rPr>
        <w:t xml:space="preserve"> </w:t>
      </w:r>
      <w:r>
        <w:rPr/>
        <w:t>We established an RNASEH2B deficiency model using the CRISPR/Cas9 system in the HEK293T cell line, and whole genome sequencing revealed patterns consistent with H_ID29</w:t>
      </w:r>
      <w:r>
        <w:rPr>
          <w:rFonts w:hint="eastAsia"/>
        </w:rPr>
        <w:t xml:space="preserve"> and InsDel29</w:t>
      </w:r>
      <w:r>
        <w:rPr/>
        <w:t xml:space="preserve"> (Figure </w:t>
      </w:r>
      <w:r>
        <w:rPr>
          <w:rFonts w:hint="eastAsia"/>
        </w:rPr>
        <w:t>8B</w:t>
      </w:r>
      <w:r>
        <w:rPr/>
        <w:t xml:space="preserve">). The primary peak predominantly represents the deletion of CT from 5’-CTCT-3’ (or AG from 5’-AGAG-3’), as indicated by the extended sequence analysis of RNASEH2B-KO cell lines and </w:t>
      </w:r>
      <w:r>
        <w:rPr>
          <w:rFonts w:hint="eastAsia"/>
        </w:rPr>
        <w:t xml:space="preserve">the </w:t>
      </w:r>
      <w:r>
        <w:rPr/>
        <w:t xml:space="preserve">five </w:t>
      </w:r>
      <w:r>
        <w:rPr>
          <w:rFonts w:hint="eastAsia"/>
        </w:rPr>
        <w:t>genomes</w:t>
      </w:r>
      <w:r>
        <w:rPr/>
        <w:t xml:space="preserve"> exhibiting the highest H_ID29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H_ID29, while NTNT (deletion from repeats) and CTNT (deletion from microhomology) at deletion sites for C_ID4 (Figure 8C). T</w:t>
      </w:r>
      <w:r>
        <w:rPr/>
        <w:t>umors exhibiting high H_ID29 activity show deletion sequences that closely resemble those observed in RNASEH2B null HEK293T cells, as well as in 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rPr/>
      </w:pPr>
      <w:r>
        <w:rPr/>
        <w:t xml:space="preserve">Collectively, </w:t>
      </w:r>
      <w:r>
        <w:rPr>
          <w:rFonts w:hint="eastAsia"/>
        </w:rPr>
        <w:t>our analysis</w:t>
      </w:r>
      <w:r>
        <w:rPr/>
        <w:t xml:space="preserve"> presents H_ID29 </w:t>
      </w:r>
      <w:r>
        <w:rPr>
          <w:rFonts w:hint="eastAsia"/>
        </w:rPr>
        <w:t xml:space="preserve">and InsDel29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H_ID29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H_ID29 shows </w:t>
      </w:r>
      <w:r>
        <w:rPr/>
        <w:t>an</w:t>
      </w:r>
      <w:r>
        <w:rPr>
          <w:rFonts w:hint="eastAsia"/>
        </w:rPr>
        <w:t xml:space="preserve"> almost depletion of long deletions (deletion length≥3) at repeats and microhomologies (Figure S6A). H_ID29 contributes to more mutations </w:t>
      </w:r>
      <w:r>
        <w:rPr/>
        <w:t xml:space="preserve">in </w:t>
      </w:r>
      <w:r>
        <w:rPr>
          <w:rFonts w:hint="eastAsia"/>
        </w:rPr>
        <w:t xml:space="preserve">transcribed regions compared to untranscribed regions, which is also observed in RNase H2 null in vitro models (Figure 8D). The consistent observations </w:t>
      </w:r>
      <w:r>
        <w:rPr/>
        <w:t>suggest</w:t>
      </w:r>
      <w:r>
        <w:rPr>
          <w:rFonts w:hint="eastAsia"/>
        </w:rPr>
        <w:t xml:space="preserve"> that H_ID29 is associated with a transcription associated mutational process. </w:t>
      </w:r>
      <w:r>
        <w:rPr/>
        <w:t>Thus, H_ID29</w:t>
      </w:r>
      <w:r>
        <w:rPr>
          <w:rFonts w:hint="eastAsia"/>
        </w:rPr>
        <w:t xml:space="preserve"> and InsDel29</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Normal"/>
        <w:rPr/>
      </w:pPr>
      <w:r>
        <w:rPr/>
        <w:t xml:space="preserve">Functional and Demographic Associations </w:t>
      </w:r>
    </w:p>
    <w:p>
      <w:pPr>
        <w:pStyle w:val="Normal"/>
        <w:rPr/>
      </w:pP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(H_ID29, InsDel29)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H_ID24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Normal"/>
        <w:rPr/>
      </w:pPr>
      <w:r>
        <w:rPr/>
        <w:t>Discussion</w:t>
      </w:r>
    </w:p>
    <w:p>
      <w:pPr>
        <w:pStyle w:val="Normal"/>
        <w:rPr/>
      </w:pPr>
      <w:r>
        <w:rPr/>
        <w:t>Leveraging a novel nonparametric Bayesian framework, we conducted mutational signature analysis on over 7,000 whole-genome tumor samples spanning 25 cancer types from the PCAWG and HMF cohorts. As the first study to apply both the Indel83 and Indel89 taxonomies to such a large dataset, we established a comprehensive catalog of 33 Indel83 and 41 Indel89 signatures, alongside a unified mapping system to facilitate cross-referencing of signatures between the two classifications. Notably, we discovered two novel indel signatures (H_ID29 and InsDel29) associated with TOP1-TAM, and validated their biological relevance using both CRISPR/Cas9-mediated RNASEH2B knockout cell models and published data from RNaseH2-deficient systems. Additionally, we identified several indel signatures—four Indel83 and six Indel89—strongly associated with microsatellite instability (MSI), further elucidating the mutational footprints of defective MMR processes.</w:t>
      </w:r>
    </w:p>
    <w:p>
      <w:pPr>
        <w:pStyle w:val="Normal"/>
        <w:rPr/>
      </w:pPr>
      <w:r>
        <w:rPr/>
        <w:t xml:space="preserve">The recently developed Indel89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Indel89 signatures to the established COSMIC Indel83 signature system;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Indel83 and Indel89 signatures. This unified framework will support more consistent interpretation and application of indel mutational signatures</w:t>
      </w:r>
      <w:r>
        <w:rPr>
          <w:rFonts w:hint="eastAsia"/>
        </w:rPr>
        <w:t xml:space="preserve"> (Vignette).</w:t>
      </w:r>
    </w:p>
    <w:p>
      <w:pPr>
        <w:pStyle w:val="Normal"/>
        <w:rPr/>
      </w:pPr>
      <w:commentRangeStart w:id="11"/>
      <w:commentRangeStart w:id="12"/>
      <w:commentRangeStart w:id="13"/>
      <w:r>
        <w:rPr/>
        <w:t>We also conducted signature extraction using SigProfilerExtractor, an NMF-based model known for its robust performance in signature analysis (Figure S</w:t>
      </w:r>
      <w:r>
        <w:rPr>
          <w:rFonts w:hint="eastAsia"/>
        </w:rPr>
        <w:t>11</w:t>
      </w:r>
      <w:r>
        <w:rPr/>
        <w:t>, Islam et al., 2022</w:t>
      </w:r>
      <w:r>
        <w:rPr>
          <w:rFonts w:hint="eastAsia"/>
        </w:rPr>
        <w:t>, Table S7</w:t>
      </w:r>
      <w:r>
        <w:rPr/>
        <w:t>). However, this method proved ineffective for our large cohort, yielding an optimal solution of K=12 but failing to identify several previously established COSMIC signatures. Notably, a recent study reanalyze</w:t>
      </w:r>
      <w:r>
        <w:rPr>
          <w:rFonts w:hint="eastAsia"/>
        </w:rPr>
        <w:t>d</w:t>
      </w:r>
      <w:r>
        <w:rPr/>
        <w:t xml:space="preserve"> PCAWG indel genomes and discovered 25 </w:t>
      </w:r>
      <w:r>
        <w:rPr>
          <w:rFonts w:hint="eastAsia"/>
        </w:rPr>
        <w:t>I</w:t>
      </w:r>
      <w:r>
        <w:rPr/>
        <w:t>ndel</w:t>
      </w:r>
      <w:r>
        <w:rPr>
          <w:rFonts w:hint="eastAsia"/>
        </w:rPr>
        <w:t>83</w:t>
      </w:r>
      <w:r>
        <w:rPr/>
        <w:t xml:space="preserve"> mutational signatures, including 9 novel </w:t>
      </w:r>
      <w:r>
        <w:rPr>
          <w:highlight w:val="magenta"/>
        </w:rPr>
        <w:t>signatures. Our analysis revealed that 3 of the 9 novel signatures identified by MuSiCal were also recapitulated in our findings (Figure S9, Jin et al., 2024). This limitation of SigProfilerExtractor is likely attributable to the challenges Non-negative Matrix Factorization faces in managing the high data sparsity and large sample size associated with</w:t>
      </w:r>
      <w:r>
        <w:rPr/>
        <w:t xml:space="preserve"> indels. Our study underscores the effectiveness of mSigHdp for mining large datasets and demonstrates its capability to reveal novel signatures in highly sparse, low-count data.</w:t>
      </w:r>
      <w:r>
        <w:rPr/>
      </w:r>
      <w:commentRangeEnd w:id="13"/>
      <w:r>
        <w:commentReference w:id="13"/>
      </w:r>
      <w:r>
        <w:rPr/>
      </w:r>
      <w:commentRangeEnd w:id="12"/>
      <w:r>
        <w:commentReference w:id="12"/>
      </w:r>
      <w:commentRangeEnd w:id="11"/>
      <w:r>
        <w:commentReference w:id="11"/>
      </w:r>
      <w:r>
        <w:rPr/>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w:t>
      </w:r>
    </w:p>
    <w:p>
      <w:pPr>
        <w:pStyle w:val="Normal"/>
        <w:rPr/>
      </w:pPr>
      <w:r>
        <w:rPr/>
        <w:t>We considered two large pan-cancer whole genome cohorts: the PCAWG cohort which comprises 2780 whole-genome–sequenced samples; and the HMF cohort, comprising 34</w:t>
      </w:r>
      <w:r>
        <w:rPr>
          <w:rFonts w:hint="eastAsia"/>
        </w:rPr>
        <w:t>30</w:t>
      </w:r>
      <w:r>
        <w:rPr/>
        <w:t xml:space="preserve"> whole-genome–sequenced tumor samples. The </w:t>
      </w:r>
      <w:r>
        <w:rPr>
          <w:rFonts w:hint="eastAsia"/>
        </w:rPr>
        <w:t xml:space="preserve">Indel83 and Indel89 </w:t>
      </w:r>
      <w:r>
        <w:rPr/>
        <w:t>mutational spectra used for mutational signature extraction were provided in Table S</w:t>
      </w:r>
      <w:r>
        <w:rPr>
          <w:rFonts w:hint="eastAsia"/>
        </w:rPr>
        <w:t>8&amp;S9</w:t>
      </w:r>
      <w:r>
        <w:rPr/>
        <w:t>. Variant calls for 2,780 WGS samples from the ICGC/TCGA (International Cancer Genome Consortium/The Cancer Genome Atlas) Pan-Cancer Analysis of Whole Genomes Consortium and clinical traits were obtained from the ICGC data portal (</w:t>
      </w:r>
      <w:hyperlink r:id="rId4">
        <w:r>
          <w:rPr>
            <w:rStyle w:val="Hyperlink"/>
          </w:rPr>
          <w:t>https://dcc.icgc.org/releases/current/Projects/</w:t>
        </w:r>
      </w:hyperlink>
      <w:r>
        <w:rPr/>
        <w:t>, now the repository is retired, the data was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w:t>
      </w:r>
      <w:r>
        <w:rPr/>
        <w:t xml:space="preserve">. The COSMIC Cancer Gene Census was used to identify known cancer driver genes </w:t>
      </w:r>
      <w:sdt>
        <w:sdtPr>
          <w:placeholder>
            <w:docPart w:val="DefaultPlaceholder_-1854013440"/>
          </w:placeholde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rPr/>
      </w:pPr>
      <w:r>
        <w:rPr/>
        <w:t>Signature attribution analysis</w:t>
      </w:r>
    </w:p>
    <w:p>
      <w:pPr>
        <w:pStyle w:val="normalfirst"/>
        <w:rPr/>
      </w:pPr>
      <w:r>
        <w:rPr/>
        <w:t xml:space="preserve">The </w:t>
      </w:r>
      <w:r>
        <w:rPr>
          <w:rFonts w:hint="eastAsia"/>
        </w:rPr>
        <w:t>Indel83 and Indel89</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rPr/>
      </w:pPr>
      <w:r>
        <w:rPr/>
        <w:t>Simulating synthetic cancer datasets</w:t>
      </w:r>
    </w:p>
    <w:p>
      <w:pPr>
        <w:pStyle w:val="normalfirst"/>
        <w:rPr/>
      </w:pPr>
      <w:r>
        <w:rPr/>
        <w:t>Synthetic cancer datasets were simulated using SigProfilerSimulator (</w:t>
      </w:r>
      <w:hyperlink r:id="rId6">
        <w:r>
          <w:rPr>
            <w:rStyle w:val="Hyperlink"/>
          </w:rPr>
          <w:t>https://bmcbioinformatics.biomedcentral.com/articles/10.1186/s12859-020-03772-3</w:t>
        </w:r>
      </w:hyperlink>
      <w:r>
        <w:rPr/>
        <w:t xml:space="preserve">). </w:t>
      </w:r>
    </w:p>
    <w:p>
      <w:pPr>
        <w:pStyle w:val="Heading2"/>
        <w:rPr/>
      </w:pPr>
      <w:r>
        <w:rPr/>
        <w:t>Annotating somatic indels based on transcribed versus un-transcribed strand</w:t>
      </w:r>
    </w:p>
    <w:p>
      <w:pPr>
        <w:pStyle w:val="normalfirst"/>
        <w:rPr/>
      </w:pPr>
      <w:r>
        <w:rPr/>
        <w:t>We followed the method in (</w:t>
      </w:r>
      <w:hyperlink r:id="rId7">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8">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pPr>
      <w:r>
        <w:rPr/>
        <w:t>Analyses of replication timing across cancer types</w:t>
      </w:r>
    </w:p>
    <w:p>
      <w:pPr>
        <w:pStyle w:val="normalfirst"/>
        <w:rPr/>
      </w:pPr>
      <w:r>
        <w:rPr/>
        <w:t>Replication timing data were obtained from (</w:t>
      </w:r>
      <w:hyperlink r:id="rId9">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rPr/>
      </w:pPr>
      <w:r>
        <w:rPr/>
        <w:t>sgRNA design and Plasmid construction</w:t>
      </w:r>
    </w:p>
    <w:p>
      <w:pPr>
        <w:pStyle w:val="normalfirst"/>
        <w:rPr/>
      </w:pPr>
      <w:r>
        <w:rPr/>
        <w:t xml:space="preserve">Exon 1 human </w:t>
      </w:r>
      <w:bookmarkStart w:id="1" w:name="_Hlk191059301"/>
      <w:r>
        <w:rPr/>
        <w:t>RNASEH2b</w:t>
      </w:r>
      <w:bookmarkEnd w:id="1"/>
      <w:r>
        <w:rPr/>
        <w:t xml:space="preserve"> gene was selected for targeting. sgR</w:t>
      </w:r>
      <w:r>
        <w:rPr>
          <w:rFonts w:hint="eastAsia"/>
        </w:rPr>
        <w:t>NA</w:t>
      </w:r>
      <w:r>
        <w:rPr/>
        <w:t xml:space="preserve"> for double-strand breaks was designed by online software (http://tools.genome-engineering.org). The sequences of targets are sgRNA1 ACCACTAGCGGAGCCGCGA and sgRNA2</w:t>
      </w:r>
      <w:r>
        <w:rPr>
          <w:rFonts w:hint="eastAsia"/>
        </w:rPr>
        <w:t xml:space="preserve"> </w:t>
      </w:r>
      <w:r>
        <w:rPr/>
        <w:t xml:space="preserve">GCCGGTCATCATCCACACGG. px330A-GFP and px330-S2 plasmids were gifts from Shang Li’s laboratory followed by the published protocol </w:t>
      </w:r>
      <w:r>
        <w:fldChar w:fldCharType="begin"/>
      </w:r>
      <w:r>
        <w:rPr/>
        <w:instrText xml:space="preserve">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rPr/>
      </w:r>
      <w:r>
        <w:rPr/>
        <w:fldChar w:fldCharType="separate"/>
      </w:r>
      <w:r>
        <w:rPr/>
        <w:t>(Ramlee et al. 2015)</w:t>
      </w:r>
      <w:r>
        <w:rPr/>
      </w:r>
      <w:r>
        <w:rPr/>
        <w:fldChar w:fldCharType="end"/>
      </w:r>
      <w:r>
        <w:rPr/>
        <w:t xml:space="preserve">.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(Thermofisher scientific, Cat No C737303). Subsequently restrictive enzyme digesting of px330-S2-sgRNA2 plasmid with BsaI-HF (New England Biolabs, cat NEB #R3535) and cloning the digested fragment containing sgRNA2 into px330A-GFP-sgRNA1 plasmid to form px330A-GFP sgRNA1&amp;sgRNA2 plasmid by the golden gate assembly. Plasmid DNA was extracted and purified by QIAprep Spin Miniprep Kit (Qiagen, Cat No. 27106) and sequenced to ensure the correct sgRNA sequences. </w:t>
      </w:r>
    </w:p>
    <w:p>
      <w:pPr>
        <w:pStyle w:val="Heading2"/>
        <w:rPr/>
      </w:pPr>
      <w:r>
        <w:rPr/>
        <w:t xml:space="preserve">Cell culture and plasmid transfection </w:t>
      </w:r>
    </w:p>
    <w:p>
      <w:pPr>
        <w:pStyle w:val="normalfirst"/>
        <w:rPr/>
      </w:pPr>
      <w:r>
        <w:rP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μg of plasmid next day using Lipofectamine™ 3000 Transfection Reagent (Invitrogen™, Cat. No. L3000150) as per manufacturer’s recommendation. </w:t>
      </w:r>
    </w:p>
    <w:p>
      <w:pPr>
        <w:pStyle w:val="Heading2"/>
        <w:rPr/>
      </w:pPr>
      <w:r>
        <w:rPr>
          <w:shd w:fill="FFFFFF" w:val="clear"/>
        </w:rPr>
        <w:t>RNASEH2</w:t>
      </w:r>
      <w:r>
        <w:rPr>
          <w:rFonts w:hint="eastAsia"/>
          <w:shd w:fill="FFFFFF" w:val="clear"/>
        </w:rPr>
        <w:t>B</w:t>
      </w:r>
      <w:r>
        <w:rPr>
          <w:shd w:fill="FFFFFF" w:val="clear"/>
        </w:rPr>
        <w:t xml:space="preserve"> KO cells selection by direct Cell lysis PCR and </w:t>
      </w:r>
      <w:r>
        <w:rPr/>
        <w:t>Western blot</w:t>
      </w:r>
    </w:p>
    <w:p>
      <w:pPr>
        <w:pStyle w:val="normalfirst"/>
        <w:rPr/>
      </w:pPr>
      <w:r>
        <w:rPr/>
        <w:t>After 2 days of transfection, HEK293T cells were sorted to GFP-positive single cell into 96-well plate using FACSAria III (BD Biosciences). The single cell was continued to culture around 2 to 3 weeks in the 96-well plate until the colony could be visualized by eyes. Cell colonies were trypsinized by 10ul of 0.05% (1:10 dilution of 0.5% Trypsin-EDTA no phenol red, Gibco™, Cat. No.  15400054). Cell suspension was divided to half. Half of the cells were kept in culture. The rest half of cells was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fldChar w:fldCharType="begin"/>
      </w:r>
      <w:r>
        <w:rPr>
          <w:rFonts w:hint="eastAsia"/>
        </w:rPr>
        <w:instrText xml:space="preserve">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9–15 weeks followed by 4–5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r>
      <w:r>
        <w:rPr>
          <w:rFonts w:hint="eastAsia"/>
        </w:rPr>
        <w:fldChar w:fldCharType="separate"/>
      </w:r>
      <w:r>
        <w:rPr>
          <w:rFonts w:hint="eastAsia"/>
        </w:rPr>
      </w:r>
      <w:r>
        <w:rPr/>
        <w:t>(Joung et al. 2017)</w:t>
      </w:r>
      <w:r>
        <w:rPr>
          <w:rFonts w:hint="eastAsia"/>
        </w:rPr>
      </w:r>
      <w:r>
        <w:rPr>
          <w:rFonts w:hint="eastAsia"/>
        </w:rPr>
        <w:fldChar w:fldCharType="end"/>
      </w:r>
      <w:r>
        <w:rPr/>
        <w:t>.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was confirmed by Western blot. 15 μg of whole cell lysis was used for immunoblotting (1:500 dilution of RNaseH2B Monoclonal Antibody cat. No. MA5-23523).</w:t>
      </w:r>
    </w:p>
    <w:p>
      <w:pPr>
        <w:pStyle w:val="Heading2"/>
        <w:rPr/>
      </w:pPr>
      <w:r>
        <w:rPr/>
        <w:t>Whole genome sequencing</w:t>
      </w:r>
      <w:r>
        <w:rPr>
          <w:rFonts w:hint="eastAsia"/>
        </w:rPr>
        <w:t xml:space="preserve"> of </w:t>
      </w:r>
      <w:r>
        <w:rPr>
          <w:shd w:fill="FFFFFF" w:val="clear"/>
        </w:rPr>
        <w:t>RNASEH2</w:t>
      </w:r>
      <w:r>
        <w:rPr>
          <w:rFonts w:hint="eastAsia"/>
          <w:shd w:fill="FFFFFF" w:val="clear"/>
        </w:rPr>
        <w:t>B</w:t>
      </w:r>
      <w:r>
        <w:rPr>
          <w:shd w:fill="FFFFFF" w:val="clear"/>
        </w:rPr>
        <w:t xml:space="preserve"> KO cell</w:t>
      </w:r>
      <w:r>
        <w:rPr>
          <w:rFonts w:hint="eastAsia"/>
          <w:shd w:fill="FFFFFF" w:val="clear"/>
        </w:rPr>
        <w:t xml:space="preserve"> clones</w:t>
      </w:r>
    </w:p>
    <w:p>
      <w:pPr>
        <w:pStyle w:val="normalfirst"/>
        <w:rPr/>
      </w:pPr>
      <w:r>
        <w:rPr/>
        <w:t>Genomic DNA of the completed knout out RNASEH2</w:t>
      </w:r>
      <w:r>
        <w:rPr>
          <w:rFonts w:hint="eastAsia"/>
        </w:rPr>
        <w:t>B</w:t>
      </w:r>
      <w:r>
        <w:rPr/>
        <w:t xml:space="preserve"> cells were extracted using DNeasy Blood &amp; Tissue Kit (Qiagen cat no.69506) and sent for whole genome sequencing (NovogeneAIT Singapore). </w:t>
      </w:r>
    </w:p>
    <w:p>
      <w:pPr>
        <w:pStyle w:val="Heading2"/>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placeholder>
            <w:docPart w:val="DefaultPlaceholder_-1854013440"/>
          </w:placeholde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t>Acknowledgement</w:t>
      </w:r>
    </w:p>
    <w:p>
      <w:pPr>
        <w:pStyle w:val="normalfirst"/>
        <w:rPr/>
      </w:pPr>
      <w:r>
        <w:rPr>
          <w:rFonts w:hint="eastAsia"/>
        </w:rPr>
        <w:t xml:space="preserve">We thank Shang Li for providing plasmids for generating CRISPR knockout clones. </w:t>
      </w:r>
    </w:p>
    <w:p>
      <w:pPr>
        <w:pStyle w:val="Heading1"/>
        <w:rPr/>
      </w:pPr>
      <w:commentRangeStart w:id="14"/>
      <w:commentRangeStart w:id="15"/>
      <w:r>
        <w:rPr>
          <w:rFonts w:hint="eastAsia"/>
        </w:rPr>
        <w:t>Funding</w:t>
      </w:r>
      <w:r>
        <w:rPr>
          <w:rFonts w:hint="eastAsia"/>
        </w:rPr>
      </w:r>
      <w:commentRangeEnd w:id="15"/>
      <w:r>
        <w:commentReference w:id="15"/>
      </w:r>
      <w:commentRangeEnd w:id="14"/>
      <w:r>
        <w:commentReference w:id="14"/>
      </w:r>
      <w:r>
        <w:rPr>
          <w:rFonts w:hint="eastAsia"/>
        </w:rPr>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the 111 Project (D18010)</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Indel83 mutational signatures. A.B., S.Z. and S.H. designed and performed gene editing experiments.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
        <w:rPr/>
      </w:pPr>
      <w:r>
        <w:fldChar w:fldCharType="begin"/>
      </w:r>
      <w:r>
        <w:rPr>
          <w:sz w:val="22"/>
          <w:rFonts w:cs="" w:ascii="Calibri" w:hAnsi="Calibri"/>
        </w:rPr>
        <w:instrText xml:space="preserve">ADDIN ZOTERO_BIBL {"uncited":[],"omitted":[],"custom":[]} CSL_BIBLIOGRAPHY</w:instrText>
      </w:r>
      <w:r>
        <w:rPr>
          <w:rFonts w:cs="" w:ascii="Calibri" w:hAnsi="Calibri"/>
          <w:sz w:val="22"/>
        </w:rPr>
      </w:r>
      <w:r>
        <w:rPr>
          <w:sz w:val="22"/>
          <w:rFonts w:cs="" w:ascii="Calibri" w:hAnsi="Calibri"/>
        </w:rPr>
        <w:fldChar w:fldCharType="separate"/>
      </w:r>
      <w:r>
        <w:rPr>
          <w:rFonts w:cs="" w:ascii="Calibri" w:hAnsi="Calibri"/>
          <w:sz w:val="22"/>
        </w:rPr>
      </w:r>
      <w:r>
        <w:rPr/>
        <w:t xml:space="preserve">Alexandrov, Ludmil B., Young Seok Ju, Kerstin Haase, et al. 2016. ‘Mutational Signatures Associated with Tobacco Smoking in Human Cancer’. </w:t>
      </w:r>
      <w:r>
        <w:rPr>
          <w:i/>
          <w:iCs/>
        </w:rPr>
        <w:t>Science</w:t>
      </w:r>
      <w:r>
        <w:rPr/>
        <w:t xml:space="preserve"> 354 (6312): 618–22. https://doi.org/10.1126/science.aag0299.</w:t>
      </w:r>
    </w:p>
    <w:p>
      <w:pPr>
        <w:pStyle w:val="Bibliography"/>
        <w:rPr/>
      </w:pPr>
      <w:r>
        <w:rPr/>
        <w:t xml:space="preserve">Alexandrov, Ludmil B., Jaegil Kim, Nicholas J. Haradhvala, et al. 2020. ‘The Repertoire of Mutational Signatures in Human Cancer’. </w:t>
      </w:r>
      <w:r>
        <w:rPr>
          <w:i/>
          <w:iCs/>
        </w:rPr>
        <w:t>Nature</w:t>
      </w:r>
      <w:r>
        <w:rPr/>
        <w:t xml:space="preserve"> 578 (7793): 94–101. https://doi.org/10.1038/s41586-020-1943-3.</w:t>
      </w:r>
    </w:p>
    <w:p>
      <w:pPr>
        <w:pStyle w:val="Bibliography"/>
        <w:rPr/>
      </w:pPr>
      <w:r>
        <w:rPr/>
        <w:t xml:space="preserve">Alexandrov, Ludmil B, Serena Nik-zainal, David C Wedge, and Samuel A J R Aparicio. 2014. </w:t>
      </w:r>
      <w:r>
        <w:rPr>
          <w:i/>
          <w:iCs/>
        </w:rPr>
        <w:t>Signatures of Mutational Processes in Human Cancer</w:t>
      </w:r>
      <w:r>
        <w:rPr/>
        <w:t>. 500 (7463): 415–21. https://doi.org/10.1038/nature12477.Signatures.</w:t>
      </w:r>
    </w:p>
    <w:p>
      <w:pPr>
        <w:pStyle w:val="Bibliography"/>
        <w:rPr/>
      </w:pPr>
      <w:r>
        <w:rPr/>
        <w:t xml:space="preserve">Bavi, Prashant, Stephen B. Baylin, Wojciech Bazant, et al. 2020. ‘Pan-Cancer Analysis of Whole Genomes’. </w:t>
      </w:r>
      <w:r>
        <w:rPr>
          <w:i/>
          <w:iCs/>
        </w:rPr>
        <w:t>Nature</w:t>
      </w:r>
      <w:r>
        <w:rPr/>
        <w:t xml:space="preserve"> 578 (7793): 82–93. https://doi.org/10.1038/s41586-020-1969-6.</w:t>
      </w:r>
    </w:p>
    <w:p>
      <w:pPr>
        <w:pStyle w:val="Bibliography"/>
        <w:rPr/>
      </w:pPr>
      <w:r>
        <w:rPr/>
        <w:t xml:space="preserve">Boot, Arnoud, Mi Ni Huang, Alvin W.T. Ng, et al. 2018. ‘In-Depth Characterization of the Cisplatin Mutational Signature in Human Cell Lines and in Esophageal and Liver Tumors’. </w:t>
      </w:r>
      <w:r>
        <w:rPr>
          <w:i/>
          <w:iCs/>
        </w:rPr>
        <w:t>Genome Research</w:t>
      </w:r>
      <w:r>
        <w:rPr/>
        <w:t xml:space="preserve"> 28 (5): 654–65. https://doi.org/10.1101/gr.230219.117.</w:t>
      </w:r>
    </w:p>
    <w:p>
      <w:pPr>
        <w:pStyle w:val="Bibliography"/>
        <w:rPr/>
      </w:pPr>
      <w:r>
        <w:rPr/>
        <w:t xml:space="preserve">Boot, Arnoud, Alvin W.T. Ng, Fui Teen Chong, et al. 2020. ‘Characterization of Colibactin-Associated Mutational Signature in an Asian Oral Squamous Cell Carcinoma and in Other Mucosal Tumor Types’. </w:t>
      </w:r>
      <w:r>
        <w:rPr>
          <w:i/>
          <w:iCs/>
        </w:rPr>
        <w:t>Genome Research</w:t>
      </w:r>
      <w:r>
        <w:rPr/>
        <w:t xml:space="preserve"> 30 (6): 803–13. https://doi.org/10.1101/gr.255620.119.</w:t>
      </w:r>
    </w:p>
    <w:p>
      <w:pPr>
        <w:pStyle w:val="Bibliography"/>
        <w:rPr/>
      </w:pPr>
      <w:r>
        <w:rPr/>
        <w:t xml:space="preserve">Caipa Garcia, Angela L., Jill E. Kucab, Halh Al-Serori, et al. 2024. ‘Tissue Organoid Cultures Metabolize Dietary Carcinogens Proficiently and Are Effective Models for DNA Adduct Formation’. </w:t>
      </w:r>
      <w:r>
        <w:rPr>
          <w:i/>
          <w:iCs/>
        </w:rPr>
        <w:t>Chemical Research in Toxicology</w:t>
      </w:r>
      <w:r>
        <w:rPr/>
        <w:t xml:space="preserve"> 37 (2): 234–47. https://doi.org/10.1021/acs.chemrestox.3c00255.</w:t>
      </w:r>
    </w:p>
    <w:p>
      <w:pPr>
        <w:pStyle w:val="Bibliography"/>
        <w:rPr/>
      </w:pPr>
      <w:r>
        <w:rPr/>
        <w:t xml:space="preserve">Chen, Lei, Chong Zhang, Ruidong Xue, et al. 2024. ‘Deep Whole-Genome Analysis of 494 Hepatocellular Carcinomas’. </w:t>
      </w:r>
      <w:r>
        <w:rPr>
          <w:i/>
          <w:iCs/>
        </w:rPr>
        <w:t>Nature</w:t>
      </w:r>
      <w:r>
        <w:rPr/>
        <w:t>, ahead of print, March 21. https://doi.org/10.1038/s41586-024-07054-3.</w:t>
      </w:r>
    </w:p>
    <w:p>
      <w:pPr>
        <w:pStyle w:val="Bibliography"/>
        <w:rPr/>
      </w:pPr>
      <w:r>
        <w:rPr/>
        <w:t xml:space="preserve">Cho, Jang-Eun, Nayun Kim, Yue C. Li, and Sue Jinks-Robertson. 2013. ‘Two Distinct Mechanisms of Topoisomerase 1-Dependent Mutagenesis in Yeast’. </w:t>
      </w:r>
      <w:r>
        <w:rPr>
          <w:i/>
          <w:iCs/>
        </w:rPr>
        <w:t>DNA Repair</w:t>
      </w:r>
      <w:r>
        <w:rPr/>
        <w:t xml:space="preserve"> 12 (3): 205–11. https://doi.org/10.1016/j.dnarep.2012.12.004.</w:t>
      </w:r>
    </w:p>
    <w:p>
      <w:pPr>
        <w:pStyle w:val="Bibliography"/>
        <w:rPr/>
      </w:pPr>
      <w:r>
        <w:rP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rPr/>
        <w:t>. http://www.hgmd.org.</w:t>
      </w:r>
    </w:p>
    <w:p>
      <w:pPr>
        <w:pStyle w:val="Bibliography"/>
        <w:rPr/>
      </w:pPr>
      <w:r>
        <w:rPr/>
        <w:t xml:space="preserve">Davies, Helen, Dominik Glodzik, Sandro Morganella, et al. 2017. ‘HRDetect Is a Predictor of BRCA1 and BRCA2 Deficiency Based on Mutational Signatures’. </w:t>
      </w:r>
      <w:r>
        <w:rPr>
          <w:i/>
          <w:iCs/>
        </w:rPr>
        <w:t>Nature Medicine</w:t>
      </w:r>
      <w:r>
        <w:rPr/>
        <w:t xml:space="preserve"> 23 (4): 517–25. https://doi.org/10.1038/nm.4292.</w:t>
      </w:r>
    </w:p>
    <w:p>
      <w:pPr>
        <w:pStyle w:val="Bibliography"/>
        <w:rPr/>
      </w:pPr>
      <w:r>
        <w:rPr/>
        <w:t xml:space="preserve">Degasperi, Andrea, Xueqing Zou, Tauanne Dias Amarante, et al. 2022. ‘Substitution Mutational Signatures in Whole-Genome–Sequenced Cancers in the UK Population’. </w:t>
      </w:r>
      <w:r>
        <w:rPr>
          <w:i/>
          <w:iCs/>
        </w:rPr>
        <w:t>Science</w:t>
      </w:r>
      <w:r>
        <w:rPr/>
        <w:t xml:space="preserve"> 376 (6591). https://doi.org/10.1126/science.abl9283.</w:t>
      </w:r>
    </w:p>
    <w:p>
      <w:pPr>
        <w:pStyle w:val="Bibliography"/>
        <w:rPr/>
      </w:pPr>
      <w:r>
        <w:rPr/>
        <w:t xml:space="preserve">Dziubańska-Kusibab, Paulina J., Hilmar Berger, Federica Battistini, et al. 2020. ‘Colibactin DNA-Damage Signature Indicates Mutational Impact in Colorectal Cancer’. </w:t>
      </w:r>
      <w:r>
        <w:rPr>
          <w:i/>
          <w:iCs/>
        </w:rPr>
        <w:t>Nature Medicine</w:t>
      </w:r>
      <w:r>
        <w:rPr/>
        <w:t xml:space="preserve"> 26 (7): 1063–69. https://doi.org/10.1038/s41591-020-0908-2.</w:t>
      </w:r>
    </w:p>
    <w:p>
      <w:pPr>
        <w:pStyle w:val="Bibliography"/>
        <w:rPr/>
      </w:pPr>
      <w:r>
        <w:rPr/>
        <w:t xml:space="preserve">Grolleman, Judith E., Richarda M. de Voer, Fadwa A. Elsayed, et al. 2019. ‘Mutational Signature Analysis Reveals NTHL1 Deficiency to Cause a Multi-Tumor Phenotype’. </w:t>
      </w:r>
      <w:r>
        <w:rPr>
          <w:i/>
          <w:iCs/>
        </w:rPr>
        <w:t>Cancer Cell</w:t>
      </w:r>
      <w:r>
        <w:rPr/>
        <w:t xml:space="preserve"> 35 (2): 256-266.e5. https://doi.org/10.1016/j.ccell.2018.12.011.</w:t>
      </w:r>
    </w:p>
    <w:p>
      <w:pPr>
        <w:pStyle w:val="Bibliography"/>
        <w:rPr/>
      </w:pPr>
      <w:r>
        <w:rPr/>
        <w:t xml:space="preserve">Hoang, Margaret L., Chung-Hsin Chen, Viktoriya S. Sidorenko, et al. 2013. ‘Mutational Signature of Aristolochic Acid Exposure as Revealed by Whole-Exome Sequencing’. </w:t>
      </w:r>
      <w:r>
        <w:rPr>
          <w:i/>
          <w:iCs/>
        </w:rPr>
        <w:t>Science Translational Medicine</w:t>
      </w:r>
      <w:r>
        <w:rPr/>
        <w:t xml:space="preserve"> 5 (197). https://doi.org/10.1126/scitranslmed.3006200.</w:t>
      </w:r>
    </w:p>
    <w:p>
      <w:pPr>
        <w:pStyle w:val="Bibliography"/>
        <w:rPr/>
      </w:pPr>
      <w:r>
        <w:rPr/>
        <w:t xml:space="preserve">Huang, Mi Ni, Willie Yu, Wei Wei Teoh, et al. 2017. ‘Genome-Scale Mutational Signatures of Aflatoxin in Cells, Mice, and Human Tumors’. </w:t>
      </w:r>
      <w:r>
        <w:rPr>
          <w:i/>
          <w:iCs/>
        </w:rPr>
        <w:t>Genome Research</w:t>
      </w:r>
      <w:r>
        <w:rPr/>
        <w:t xml:space="preserve"> 27 (9): 1475–86. https://doi.org/10.1101/gr.220038.116.</w:t>
      </w:r>
    </w:p>
    <w:p>
      <w:pPr>
        <w:pStyle w:val="Bibliography"/>
        <w:rPr/>
      </w:pPr>
      <w:r>
        <w:rPr/>
        <w:t xml:space="preserve">Huang, Mini, John R. McPherson, Ioana Cutcutache, Bin Tean Teh, Patrick Tan, and Steven G. Rozen. 2015. ‘MSIseq: Software for Assessing Microsatellite Instability from Catalogs of Somatic Mutations’. </w:t>
      </w:r>
      <w:r>
        <w:rPr>
          <w:i/>
          <w:iCs/>
        </w:rPr>
        <w:t>Scientific Reports</w:t>
      </w:r>
      <w:r>
        <w:rPr/>
        <w:t xml:space="preserve"> 5 (1): 13321. https://doi.org/10.1038/srep13321.</w:t>
      </w:r>
    </w:p>
    <w:p>
      <w:pPr>
        <w:pStyle w:val="Bibliography"/>
        <w:rPr/>
      </w:pPr>
      <w:r>
        <w:rPr/>
        <w:t xml:space="preserve">Islam, S. M.Ashiqul, Marcos Díaz-Gay, Yang Wu, et al. 2022. ‘Uncovering Novel Mutational Signatures by de Novo Extraction with SigProfilerExtractor’. </w:t>
      </w:r>
      <w:r>
        <w:rPr>
          <w:i/>
          <w:iCs/>
        </w:rPr>
        <w:t>Cell Genomics</w:t>
      </w:r>
      <w:r>
        <w:rPr/>
        <w:t xml:space="preserve"> 2 (11). https://doi.org/10.1016/j.xgen.2022.100179.</w:t>
      </w:r>
    </w:p>
    <w:p>
      <w:pPr>
        <w:pStyle w:val="Bibliography"/>
        <w:rPr/>
      </w:pPr>
      <w:r>
        <w:rPr/>
        <w:t xml:space="preserve">Jiang, Nanhai, Yang Wu, and Steven G Rozen. 2024. ‘A New Approach to the Challenging Problem of Mutational Signature Attribution’. </w:t>
      </w:r>
      <w:r>
        <w:rPr>
          <w:i/>
          <w:iCs/>
        </w:rPr>
        <w:t>bioRxiv</w:t>
      </w:r>
      <w:r>
        <w:rPr/>
        <w:t>, ahead of print. https://doi.org/10.1101/2024.05.20.594967.</w:t>
      </w:r>
    </w:p>
    <w:p>
      <w:pPr>
        <w:pStyle w:val="Bibliography"/>
        <w:rPr/>
      </w:pPr>
      <w:r>
        <w:rPr/>
        <w:t xml:space="preserve">Jin, Hu, Doga C. Gulhan, Benedikt Geiger, et al. 2024. ‘Accurate and Sensitive Mutational Signature Analysis with MuSiCal’. </w:t>
      </w:r>
      <w:r>
        <w:rPr>
          <w:i/>
          <w:iCs/>
        </w:rPr>
        <w:t>Nature Genetics</w:t>
      </w:r>
      <w:r>
        <w:rPr/>
        <w:t xml:space="preserve"> 56 (3): 541–52. https://doi.org/10.1038/s41588-024-01659-0.</w:t>
      </w:r>
    </w:p>
    <w:p>
      <w:pPr>
        <w:pStyle w:val="Bibliography"/>
        <w:rPr/>
      </w:pPr>
      <w:r>
        <w:rPr/>
        <w:t xml:space="preserve">Joung, Julia, Silvana Konermann, Jonathan S Gootenberg, et al. 2017. ‘Genome-Scale CRISPR-Cas9 Knockout and Transcriptional Activation Screening’. </w:t>
      </w:r>
      <w:r>
        <w:rPr>
          <w:i/>
          <w:iCs/>
        </w:rPr>
        <w:t>Nature Protocols</w:t>
      </w:r>
      <w:r>
        <w:rPr/>
        <w:t xml:space="preserve"> 12 (4): 828–63. https://doi.org/10.1038/nprot.2017.016.</w:t>
      </w:r>
    </w:p>
    <w:p>
      <w:pPr>
        <w:pStyle w:val="Bibliography"/>
        <w:rPr/>
      </w:pPr>
      <w:r>
        <w:rPr/>
        <w:t xml:space="preserve">Koh, Gene Ching Chiek, Arjun Scott Nanda, Giuseppe Rinaldi, et al. 2025. ‘A Redefined InDel Taxonomy Provides Insights into Mutational Signatures’. </w:t>
      </w:r>
      <w:r>
        <w:rPr>
          <w:i/>
          <w:iCs/>
        </w:rPr>
        <w:t>Nature Genetics</w:t>
      </w:r>
      <w:r>
        <w:rPr/>
        <w:t>, ahead of print, April 10. https://doi.org/10.1038/s41588-025-02152-y.</w:t>
      </w:r>
    </w:p>
    <w:p>
      <w:pPr>
        <w:pStyle w:val="Bibliography"/>
        <w:rPr/>
      </w:pPr>
      <w:r>
        <w:rPr/>
        <w:t xml:space="preserve">Kucab, Jill E., Xueqing Zou, Sandro Morganella, et al. 2019. ‘A Compendium of Mutational Signatures of Environmental Agents’. </w:t>
      </w:r>
      <w:r>
        <w:rPr>
          <w:i/>
          <w:iCs/>
        </w:rPr>
        <w:t>Cell</w:t>
      </w:r>
      <w:r>
        <w:rPr/>
        <w:t xml:space="preserve"> 177 (4): 821-836.e16. https://doi.org/10.1016/j.cell.2019.03.001.</w:t>
      </w:r>
    </w:p>
    <w:p>
      <w:pPr>
        <w:pStyle w:val="Bibliography"/>
        <w:rPr/>
      </w:pPr>
      <w:r>
        <w:rPr/>
        <w:t xml:space="preserve">Lippert, Malcolm J., Nayun Kim, Jang-Eun Cho, et al. 2011. ‘Role for Topoisomerase 1 in Transcription-Associated Mutagenesis in Yeast’. </w:t>
      </w:r>
      <w:r>
        <w:rPr>
          <w:i/>
          <w:iCs/>
        </w:rPr>
        <w:t>Proceedings of the National Academy of Sciences</w:t>
      </w:r>
      <w:r>
        <w:rPr/>
        <w:t xml:space="preserve"> 108 (2): 698–703. https://doi.org/10.1073/pnas.1012363108.</w:t>
      </w:r>
    </w:p>
    <w:p>
      <w:pPr>
        <w:pStyle w:val="Bibliography"/>
        <w:rPr/>
      </w:pPr>
      <w:r>
        <w:rPr/>
        <w:t xml:space="preserve">Liu, Mo, Yang Wu, Nanhai Jiang, Arnoud Boot, and Steven G Rozen. 2023. ‘mSigHdp: Hierarchical Dirichlet Process Mixture Modeling for Mutational Signature Discovery’. </w:t>
      </w:r>
      <w:r>
        <w:rPr>
          <w:i/>
          <w:iCs/>
        </w:rPr>
        <w:t>NAR Genomics and Bioinformatics</w:t>
      </w:r>
      <w:r>
        <w:rPr/>
        <w:t xml:space="preserve"> 5 (1): lqad005. https://doi.org/10.1093/nargab/lqad005.</w:t>
      </w:r>
    </w:p>
    <w:p>
      <w:pPr>
        <w:pStyle w:val="Bibliography"/>
        <w:rPr/>
      </w:pPr>
      <w:r>
        <w:rPr/>
        <w:t xml:space="preserve">Martínez-Jiménez, Francisco, Ali Movasati, Sascha Remy Brunner, et al. 2023. ‘Pan-Cancer Whole-Genome Comparison of Primary and Metastatic Solid Tumours’. </w:t>
      </w:r>
      <w:r>
        <w:rPr>
          <w:i/>
          <w:iCs/>
        </w:rPr>
        <w:t>Nature</w:t>
      </w:r>
      <w:r>
        <w:rPr/>
        <w:t xml:space="preserve"> 618 (7964): 333–41. https://doi.org/10.1038/s41586-023-06054-z.</w:t>
      </w:r>
    </w:p>
    <w:p>
      <w:pPr>
        <w:pStyle w:val="Bibliography"/>
        <w:rPr/>
      </w:pPr>
      <w:r>
        <w:rPr/>
        <w:t xml:space="preserve">Ng, Alvin W T, Song Ling Poon, Mi Ni Huang, et al. 2017. </w:t>
      </w:r>
      <w:r>
        <w:rPr>
          <w:i/>
          <w:iCs/>
        </w:rPr>
        <w:t>Aristolochic Acids and Their Derivatives Are Widely Implicated in Liver Cancers in Taiwan and throughout Asia</w:t>
      </w:r>
      <w:r>
        <w:rPr/>
        <w:t>. https://www.science.org.</w:t>
      </w:r>
    </w:p>
    <w:p>
      <w:pPr>
        <w:pStyle w:val="Bibliography"/>
        <w:rPr/>
      </w:pPr>
      <w:r>
        <w:rPr/>
        <w:t xml:space="preserve">Nik-Zainal, Serena, Ludmil B. Alexandrov, David C. Wedge, et al. 2012. ‘Mutational Processes Molding the Genomes of 21 Breast Cancers’. </w:t>
      </w:r>
      <w:r>
        <w:rPr>
          <w:i/>
          <w:iCs/>
        </w:rPr>
        <w:t>Cell</w:t>
      </w:r>
      <w:r>
        <w:rPr/>
        <w:t xml:space="preserve"> 149 (5): 979–93. https://doi.org/10.1016/j.cell.2012.04.024.</w:t>
      </w:r>
    </w:p>
    <w:p>
      <w:pPr>
        <w:pStyle w:val="Bibliography"/>
        <w:rPr/>
      </w:pPr>
      <w:r>
        <w:rPr/>
        <w:t xml:space="preserve">Poon, Song Ling, Mi Ni Huang, Yang Choo, et al. 2015. ‘Mutation Signatures Implicate Aristolochic Acid in Bladder Cancer Development’. </w:t>
      </w:r>
      <w:r>
        <w:rPr>
          <w:i/>
          <w:iCs/>
        </w:rPr>
        <w:t>Genome Medicine</w:t>
      </w:r>
      <w:r>
        <w:rPr/>
        <w:t xml:space="preserve"> 7 (1): 38. https://doi.org/10.1186/s13073-015-0161-3.</w:t>
      </w:r>
    </w:p>
    <w:p>
      <w:pPr>
        <w:pStyle w:val="Bibliography"/>
        <w:rPr/>
      </w:pPr>
      <w:r>
        <w:rPr/>
        <w:t xml:space="preserve">Poon, Song Ling, See-Tong Pang, John R. McPherson, et al. 2013. ‘Genome-Wide Mutational Signatures of Aristolochic Acid and Its Application as a Screening Tool’. </w:t>
      </w:r>
      <w:r>
        <w:rPr>
          <w:i/>
          <w:iCs/>
        </w:rPr>
        <w:t>Science Translational Medicine</w:t>
      </w:r>
      <w:r>
        <w:rPr/>
        <w:t xml:space="preserve"> 5 (197). https://doi.org/10.1126/scitranslmed.3006086.</w:t>
      </w:r>
    </w:p>
    <w:p>
      <w:pPr>
        <w:pStyle w:val="Bibliography"/>
        <w:rPr/>
      </w:pPr>
      <w:r>
        <w:rPr/>
        <w:t xml:space="preserve">Ramlee, Muhammad Khairul, Tingdong Yan, Alice M. S. Cheung, Charles T. H. Chuah, and Shang Li. 2015. ‘High-Throughput Genotyping of CRISPR/Cas9-Mediated Mutants Using Fluorescent PCR-Capillary Gel Electrophoresis’. </w:t>
      </w:r>
      <w:r>
        <w:rPr>
          <w:i/>
          <w:iCs/>
        </w:rPr>
        <w:t>Scientific Reports</w:t>
      </w:r>
      <w:r>
        <w:rPr/>
        <w:t xml:space="preserve"> 5 (1): 15587. https://doi.org/10.1038/srep15587.</w:t>
      </w:r>
    </w:p>
    <w:p>
      <w:pPr>
        <w:pStyle w:val="Bibliography"/>
        <w:rPr/>
      </w:pPr>
      <w:r>
        <w:rPr/>
        <w:t xml:space="preserve">Reijns, Martin A. M., David A. Parry, Thomas C. Williams, et al. 2022. ‘Signatures of TOP1 Transcription-Associated Mutagenesis in Cancer and Germline’. </w:t>
      </w:r>
      <w:r>
        <w:rPr>
          <w:i/>
          <w:iCs/>
        </w:rPr>
        <w:t>Nature</w:t>
      </w:r>
      <w:r>
        <w:rPr/>
        <w:t xml:space="preserve"> 602 (7898): 623–31. https://doi.org/10.1038/s41586-022-04403-y.</w:t>
      </w:r>
    </w:p>
    <w:p>
      <w:pPr>
        <w:pStyle w:val="Bibliography"/>
        <w:rPr/>
      </w:pPr>
      <w:r>
        <w:rPr/>
        <w:t xml:space="preserve">Riva, Laura, Arun R. Pandiri, Yun Rose Li, et al. 2020. ‘The Mutational Signature Profile of Known and Suspected Human Carcinogens in Mice’. </w:t>
      </w:r>
      <w:r>
        <w:rPr>
          <w:i/>
          <w:iCs/>
        </w:rPr>
        <w:t>Nature Genetics</w:t>
      </w:r>
      <w:r>
        <w:rPr/>
        <w:t xml:space="preserve"> 52 (11): 1189–97. https://doi.org/10.1038/s41588-020-0692-4.</w:t>
      </w:r>
    </w:p>
    <w:p>
      <w:pPr>
        <w:pStyle w:val="Bibliography"/>
        <w:rPr/>
      </w:pPr>
      <w:r>
        <w:rP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rPr/>
        <w:t xml:space="preserve">’. </w:t>
      </w:r>
      <w:r>
        <w:rPr>
          <w:i/>
          <w:iCs/>
        </w:rPr>
        <w:t>Proceedings of the National Academy of Sciences</w:t>
      </w:r>
      <w:r>
        <w:rPr/>
        <w:t xml:space="preserve"> 108 (2): 692–97. https://doi.org/10.1073/pnas.1012582108.</w:t>
      </w:r>
    </w:p>
    <w:p>
      <w:pPr>
        <w:pStyle w:val="Normal"/>
        <w:spacing w:before="0" w:after="160"/>
        <w:rPr/>
      </w:pPr>
      <w:r/>
      <w:r>
        <w:rPr>
          <w:sz w:val="22"/>
          <w:rFonts w:cs="" w:ascii="Calibri" w:hAnsi="Calibri"/>
        </w:rPr>
        <w:fldChar w:fldCharType="end"/>
      </w:r>
      <w:r>
        <w:rPr>
          <w:rFonts w:cs="" w:ascii="Calibri" w:hAnsi="Calibri"/>
          <w:sz w:val="22"/>
        </w:rPr>
      </w:r>
    </w:p>
    <w:sectPr>
      <w:footerReference w:type="even" r:id="rId10"/>
      <w:footerReference w:type="default" r:id="rId11"/>
      <w:footerReference w:type="first" r:id="rId12"/>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Steve Rozen, Ph.D." w:date="2025-09-23T21:08:00Z" w:initials="SR">
    <w:p>
      <w:pPr>
        <w:overflowPunct w:val="false"/>
        <w:spacing w:before="0" w:after="0" w:lineRule="auto" w:line="240"/>
        <w:rPr/>
      </w:pPr>
      <w:r>
        <w:annotationRef/>
      </w:r>
      <w:r>
        <w:rPr>
          <w:rFonts w:cs="Noto Sans Arabic UI" w:ascii="Liberation Serif" w:hAnsi="Liberation Serif" w:eastAsia="DejaVu Sans"/>
          <w:lang w:bidi="en-US" w:eastAsia="en-US" w:val="en-US"/>
        </w:rPr>
        <w:t>Need to define this</w:t>
      </w:r>
    </w:p>
  </w:comment>
  <w:comment w:id="1" w:author="Steve Rozen, Ph.D." w:date="2025-09-28T18:57:00Z" w:initials="SR">
    <w:p>
      <w:pPr>
        <w:overflowPunct w:val="false"/>
        <w:spacing w:before="0" w:after="0" w:lineRule="auto" w:line="240"/>
        <w:rPr/>
      </w:pPr>
      <w:r>
        <w:annotationRef/>
      </w:r>
      <w:r>
        <w:rPr>
          <w:rFonts w:cs="Noto Sans Arabic UI" w:ascii="Liberation Serif" w:hAnsi="Liberation Serif" w:eastAsia="DejaVu Sans"/>
          <w:lang w:bidi="en-US" w:eastAsia="en-US" w:val="en-US"/>
        </w:rPr>
        <w:t>Possibly cite benchmark results for indels</w:t>
      </w:r>
    </w:p>
  </w:comment>
  <w:comment w:id="2" w:author="Steve Rozen, Ph.D." w:date="2025-09-23T13:14:00Z" w:initials="SR">
    <w:p>
      <w:pPr>
        <w:overflowPunct w:val="false"/>
        <w:spacing w:before="0" w:after="0" w:lineRule="auto" w:line="240"/>
        <w:rPr/>
      </w:pPr>
      <w:r>
        <w:annotationRef/>
      </w:r>
      <w:r>
        <w:rPr>
          <w:rFonts w:cs="Noto Sans Arabic UI" w:ascii="Liberation Serif" w:hAnsi="Liberation Serif" w:eastAsia="DejaVu Sans"/>
          <w:lang w:bidi="en-US" w:eastAsia="en-US" w:val="en-US"/>
        </w:rPr>
        <w:t>Move these details elsewhere</w:t>
      </w:r>
    </w:p>
  </w:comment>
  <w:comment w:id="3" w:author="Steve Rozen, Ph.D." w:date="2025-09-23T10:50:00Z" w:initials="SR">
    <w:p>
      <w:pPr>
        <w:overflowPunct w:val="false"/>
        <w:spacing w:before="0" w:after="0" w:lineRule="auto" w:line="240"/>
        <w:rPr/>
      </w:pPr>
      <w:r>
        <w:annotationRef/>
      </w:r>
      <w:r>
        <w:rPr>
          <w:rFonts w:cs="Noto Sans Arabic UI" w:ascii="Liberation Serif" w:hAnsi="Liberation Serif" w:eastAsia="DejaVu Sans"/>
          <w:lang w:bidi="en-US" w:eastAsia="en-US" w:val="en-US"/>
        </w:rPr>
        <w:t>Possibly move to table legend</w:t>
      </w:r>
    </w:p>
  </w:comment>
  <w:comment w:id="4" w:author="Steve Rozen, Ph.D." w:date="2025-09-23T20:58:00Z" w:initials="SR">
    <w:p>
      <w:pPr>
        <w:overflowPunct w:val="false"/>
        <w:spacing w:before="0" w:after="0" w:lineRule="auto" w:line="240"/>
        <w:rPr/>
      </w:pPr>
      <w:r>
        <w:annotationRef/>
      </w:r>
      <w:r>
        <w:rPr>
          <w:rFonts w:cs="Noto Sans Arabic UI" w:ascii="Liberation Serif" w:hAnsi="Liberation Serif" w:eastAsia="DejaVu Sans"/>
          <w:lang w:bidi="en-US" w:eastAsia="en-US" w:val="en-US"/>
        </w:rPr>
        <w:t>Steve work on this</w:t>
      </w:r>
    </w:p>
  </w:comment>
  <w:comment w:id="7" w:author="Mo Liu" w:date="2025-06-24T16:45:00Z" w:initials="ML">
    <w:p w14:paraId="01000000">
      <w:pPr>
        <w:overflowPunct w:val="false"/>
        <w:spacing w:before="0" w:after="0" w:lineRule="auto" w:line="240"/>
        <w:rPr/>
      </w:pPr>
      <w:r>
        <w:annotationRef/>
      </w:r>
      <w:r>
        <w:rPr>
          <w:rFonts w:cs="Noto Sans Arabic UI" w:ascii="Liberation Serif" w:hAnsi="Liberation Serif" w:eastAsia="DejaVu Sans"/>
          <w:lang w:bidi="en-US" w:eastAsia="en-US" w:val="en-US"/>
        </w:rPr>
        <w:t>Should we mention this in the absract or claim it as a novelty?</w:t>
      </w:r>
    </w:p>
  </w:comment>
  <w:comment w:id="6" w:author="Mo Liu" w:date="2025-08-30T17:44:00Z" w:initials="ML">
    <w:p w14:paraId="02000000">
      <w:pPr>
        <w:overflowPunct w:val="false"/>
        <w:spacing w:before="0" w:after="0" w:lineRule="auto" w:line="240"/>
        <w:rPr/>
      </w:pPr>
      <w:r>
        <w:annotationRef/>
      </w:r>
      <w:r>
        <w:rPr>
          <w:rFonts w:cs="Noto Sans Arabic UI" w:ascii="Liberation Serif" w:hAnsi="Liberation Serif" w:eastAsia="DejaVu Sans"/>
          <w:lang w:bidi="en-US" w:eastAsia="en-US" w:val="en-US"/>
        </w:rPr>
        <w:t xml:space="preserve">Well, I think this might be trivial. </w:t>
      </w:r>
    </w:p>
  </w:comment>
  <w:comment w:id="5" w:author="Steve Rozen, Ph.D." w:date="2025-09-23T12:28:00Z" w:initials="SR">
    <w:p w14:paraId="03000000">
      <w:pPr>
        <w:overflowPunct w:val="false"/>
        <w:spacing w:before="0" w:after="0" w:lineRule="auto" w:line="240"/>
        <w:rPr/>
      </w:pPr>
      <w:r>
        <w:annotationRef/>
      </w:r>
      <w:r>
        <w:rPr>
          <w:rFonts w:cs="Noto Sans Arabic UI" w:ascii="Liberation Serif" w:hAnsi="Liberation Serif" w:eastAsia="DejaVu Sans"/>
          <w:lang w:bidi="en-US" w:eastAsia="en-US" w:val="en-US"/>
        </w:rPr>
        <w:t>Yes, trivial</w:t>
      </w:r>
    </w:p>
  </w:comment>
  <w:comment w:id="8" w:author="Mo Liu" w:date="2025-08-30T12:01:00Z" w:initials="ML">
    <w:p>
      <w:pPr>
        <w:overflowPunct w:val="false"/>
        <w:spacing w:before="0" w:after="0" w:lineRule="auto" w:line="240"/>
        <w:rPr/>
      </w:pPr>
      <w:r>
        <w:annotationRef/>
      </w:r>
      <w:r>
        <w:rPr>
          <w:rFonts w:cs="Noto Sans Arabic UI" w:ascii="Liberation Serif" w:hAnsi="Liberation Serif" w:eastAsia="DejaVu Sans"/>
          <w:lang w:bidi="en-US" w:eastAsia="en-US" w:val="en-US"/>
        </w:rPr>
        <w:t>Maybe I also need to do a sup figure for this?</w:t>
      </w:r>
    </w:p>
  </w:comment>
  <w:comment w:id="9" w:author="Steve Rozen, Ph.D." w:date="2025-09-23T21:13:00Z" w:initials="SR">
    <w:p>
      <w:pPr>
        <w:overflowPunct w:val="false"/>
        <w:spacing w:before="0" w:after="0" w:lineRule="auto" w:line="240"/>
        <w:rPr/>
      </w:pPr>
      <w:r>
        <w:annotationRef/>
      </w:r>
      <w:r>
        <w:rPr>
          <w:rFonts w:cs="Noto Sans Arabic UI" w:ascii="Liberation Serif" w:hAnsi="Liberation Serif" w:eastAsia="DejaVu Sans"/>
          <w:lang w:bidi="en-US" w:eastAsia="en-US" w:val="en-US"/>
        </w:rPr>
        <w:t>Novel</w:t>
      </w:r>
    </w:p>
  </w:comment>
  <w:comment w:id="10" w:author="Mo Liu" w:date="2025-08-30T17:20:00Z" w:initials="ML">
    <w:p>
      <w:pPr>
        <w:overflowPunct w:val="false"/>
        <w:spacing w:before="0" w:after="0" w:lineRule="auto" w:line="240"/>
        <w:rPr/>
      </w:pPr>
      <w:r>
        <w:annotationRef/>
      </w:r>
      <w:r>
        <w:rPr>
          <w:rFonts w:cs="Noto Sans Arabic UI" w:ascii="Liberation Serif" w:hAnsi="Liberation Serif" w:eastAsia="DejaVu Sans"/>
          <w:lang w:bidi="en-US" w:eastAsia="en-US" w:val="en-US"/>
        </w:rPr>
        <w:t>Is this appropriate?</w:t>
      </w:r>
    </w:p>
  </w:comment>
  <w:comment w:id="13" w:author="Mo Liu" w:date="2025-08-31T11:49:00Z" w:initials="ML">
    <w:p w14:paraId="04000000">
      <w:pPr>
        <w:overflowPunct w:val="false"/>
        <w:spacing w:before="0" w:after="0" w:lineRule="auto" w:line="240"/>
        <w:rPr/>
      </w:pPr>
      <w:r>
        <w:annotationRef/>
      </w:r>
      <w:r>
        <w:rPr>
          <w:rFonts w:cs="Noto Sans Arabic UI" w:ascii="Liberation Serif" w:hAnsi="Liberation Serif" w:eastAsia="DejaVu Sans"/>
          <w:lang w:bidi="en-US" w:eastAsia="en-US" w:val="en-US"/>
        </w:rPr>
        <w:t xml:space="preserve">I now have ID83 and ID89 results from SigProfiler. We can’t run musical anymore, for some unknown reason. How we describe this? </w:t>
      </w:r>
    </w:p>
  </w:comment>
  <w:comment w:id="12" w:author="Mo Liu" w:date="2025-09-08T14:28:00Z" w:initials="ML">
    <w:p w14:paraId="05000000">
      <w:pPr>
        <w:overflowPunct w:val="false"/>
        <w:spacing w:before="0" w:after="0" w:lineRule="auto" w:line="240"/>
        <w:rPr/>
      </w:pPr>
      <w:r>
        <w:annotationRef/>
      </w:r>
      <w:r>
        <w:rPr>
          <w:rFonts w:cs="Noto Sans Arabic UI" w:ascii="Liberation Serif" w:hAnsi="Liberation Serif" w:eastAsia="DejaVu Sans"/>
          <w:lang w:bidi="en-US" w:eastAsia="en-US" w:val="en-US"/>
        </w:rPr>
        <w:t>I plan to remove the MuSiCal part and only reported results from SigProfiler. We can added back if the reviewer asks. What do you think?</w:t>
      </w:r>
    </w:p>
  </w:comment>
  <w:comment w:id="11" w:author="Steve Rozen, Ph.D." w:date="2025-09-23T12:39:00Z" w:initials="SR">
    <w:p w14:paraId="06000000">
      <w:pPr>
        <w:overflowPunct w:val="false"/>
        <w:spacing w:before="0" w:after="0" w:lineRule="auto" w:line="240"/>
        <w:rPr/>
      </w:pPr>
      <w:r>
        <w:annotationRef/>
      </w:r>
      <w:r>
        <w:rPr>
          <w:rFonts w:cs="Noto Sans Arabic UI" w:ascii="Liberation Serif" w:hAnsi="Liberation Serif" w:eastAsia="DejaVu Sans"/>
          <w:lang w:bidi="en-US" w:eastAsia="en-US" w:val="en-US"/>
        </w:rPr>
        <w:t xml:space="preserve">Yes; I was having trouble with Musical too and gave up on it.  </w:t>
      </w:r>
    </w:p>
  </w:comment>
  <w:comment w:id="15" w:author="Mo Liu" w:date="2025-09-08T14:03:00Z" w:initials="ML">
    <w:p w14:paraId="07000000">
      <w:pPr>
        <w:overflowPunct w:val="false"/>
        <w:spacing w:before="0" w:after="0" w:lineRule="auto" w:line="240"/>
        <w:rPr/>
      </w:pPr>
      <w:r>
        <w:annotationRef/>
      </w:r>
      <w:r>
        <w:rPr>
          <w:rFonts w:cs="Noto Sans Arabic UI" w:ascii="Liberation Serif" w:hAnsi="Liberation Serif" w:eastAsia="DejaVu Sans"/>
          <w:lang w:bidi="en-US" w:eastAsia="en-US" w:val="en-US"/>
        </w:rPr>
        <w:t>Please add in the funding information</w:t>
      </w:r>
    </w:p>
  </w:comment>
  <w:comment w:id="14" w:author="Steve Rozen, Ph.D." w:date="2025-09-28T18:45:00Z" w:initials="SR">
    <w:p w14:paraId="08000000">
      <w:pPr>
        <w:overflowPunct w:val="false"/>
        <w:spacing w:before="0" w:after="0" w:lineRule="auto" w:line="240"/>
        <w:rPr/>
      </w:pPr>
      <w:r>
        <w:annotationRef/>
      </w:r>
      <w:r>
        <w:rPr>
          <w:rFonts w:cs="Noto Sans Arabic UI" w:ascii="Liberation Serif" w:hAnsi="Liberation Serif" w:eastAsia="DejaVu Sans"/>
          <w:lang w:bidi="en-US" w:eastAsia="en-US" w:val="en-US"/>
        </w:rPr>
        <w:t>There is no funding info for me; and I can get in trouble if we list an NIH grant on a paper with foreign authors if we did not declare the foreign authors previously :-/</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5000000" w15:paraIdParent="04000000"/>
  <w15:commentEx w15:paraId="06000000" w15:paraIdParent="04000000"/>
  <w15:commentEx w15:paraId="08000000" w15:paraIdParent="07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sdtPr>
    <w:sdtContent>
      <w:p>
        <w:pPr>
          <w:pStyle w:val="Footer"/>
          <w:spacing w:before="0" w:after="160"/>
          <w:rPr/>
        </w:pPr>
        <w:r>
          <w:rPr/>
          <w:t xml:space="preserve">Page </w:t>
        </w:r>
        <w:r>
          <w:rPr/>
          <w:fldChar w:fldCharType="begin"/>
        </w:r>
        <w:r>
          <w:rPr/>
          <w:instrText xml:space="preserve"> PAGE </w:instrText>
        </w:r>
        <w:r>
          <w:rPr/>
          <w:fldChar w:fldCharType="separate"/>
        </w:r>
        <w:r>
          <w:rPr/>
          <w:t>37</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sdtPr>
    <w:sdtContent>
      <w:p>
        <w:pPr>
          <w:pStyle w:val="Footer"/>
          <w:spacing w:before="0" w:after="160"/>
          <w:rPr/>
        </w:pPr>
        <w:r>
          <w:rPr/>
          <w:t xml:space="preserve">Page </w:t>
        </w:r>
        <w:r>
          <w:rPr/>
          <w:fldChar w:fldCharType="begin"/>
        </w:r>
        <w:r>
          <w:rPr/>
          <w:instrText xml:space="preserve"> PAGE </w:instrText>
        </w:r>
        <w:r>
          <w:rPr/>
          <w:fldChar w:fldCharType="separate"/>
        </w:r>
        <w:r>
          <w:rPr/>
          <w:t>37</w:t>
        </w:r>
        <w:r>
          <w:rPr/>
          <w:fldChar w:fldCharType="end"/>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等线" w:cs="" w:asciiTheme="minorHAnsi" w:cstheme="minorBidi" w:eastAsiaTheme="minorEastAsia" w:hAnsiTheme="minorHAns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20fa"/>
    <w:pPr>
      <w:widowControl/>
      <w:bidi w:val="0"/>
      <w:spacing w:lineRule="auto" w:line="480" w:before="0" w:after="160"/>
      <w:ind w:firstLine="720"/>
      <w:jc w:val="start"/>
    </w:pPr>
    <w:rPr>
      <w:rFonts w:ascii="Times New Roman" w:hAnsi="Times New Roman" w:cs="Times New Roman" w:eastAsia="等线" w:eastAsiaTheme="minorEastAsia"/>
      <w:color w:val="auto"/>
      <w:kern w:val="0"/>
      <w:sz w:val="24"/>
      <w:szCs w:val="24"/>
      <w:lang w:val="en-US" w:eastAsia="zh-CN" w:bidi="ar-SA"/>
    </w:rPr>
  </w:style>
  <w:style w:type="paragraph" w:styleId="Heading1">
    <w:name w:val="heading 1"/>
    <w:basedOn w:val="Normal"/>
    <w:next w:val="Normal"/>
    <w:link w:val="Heading1Char"/>
    <w:uiPriority w:val="9"/>
    <w:qFormat/>
    <w:rsid w:val="00091636"/>
    <w:pPr>
      <w:keepNext w:val="true"/>
      <w:keepLines/>
      <w:spacing w:before="240" w:after="120"/>
      <w:ind w:hanging="0"/>
      <w:outlineLvl w:val="0"/>
    </w:pPr>
    <w:rPr>
      <w:rFonts w:eastAsia="等线 Light" w:eastAsiaTheme="majorEastAsia"/>
      <w:b/>
      <w:bCs/>
    </w:rPr>
  </w:style>
  <w:style w:type="paragraph" w:styleId="Heading2">
    <w:name w:val="heading 2"/>
    <w:basedOn w:val="Normal"/>
    <w:next w:val="Normal"/>
    <w:link w:val="Heading2Char"/>
    <w:uiPriority w:val="9"/>
    <w:unhideWhenUsed/>
    <w:qFormat/>
    <w:rsid w:val="00eb20fa"/>
    <w:pPr>
      <w:keepNext w:val="true"/>
      <w:keepLines/>
      <w:spacing w:before="40" w:after="0"/>
      <w:ind w:hanging="0"/>
      <w:outlineLvl w:val="1"/>
    </w:pPr>
    <w:rPr>
      <w:rFonts w:eastAsia="等线 Light" w:eastAsiaTheme="majorEastAsia"/>
      <w:b/>
      <w:bCs/>
      <w:i/>
      <w:iCs/>
      <w:color w:themeColor="text1" w:val="00000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0f4f7d"/>
    <w:rPr>
      <w:sz w:val="18"/>
      <w:szCs w:val="18"/>
    </w:rPr>
  </w:style>
  <w:style w:type="character" w:styleId="FooterChar" w:customStyle="1">
    <w:name w:val="Footer Char"/>
    <w:basedOn w:val="DefaultParagraphFont"/>
    <w:link w:val="Footer"/>
    <w:uiPriority w:val="99"/>
    <w:qFormat/>
    <w:rsid w:val="000f4f7d"/>
    <w:rPr>
      <w:sz w:val="18"/>
      <w:szCs w:val="18"/>
    </w:rPr>
  </w:style>
  <w:style w:type="character" w:styleId="PlaceholderText">
    <w:name w:val="Placeholder Text"/>
    <w:basedOn w:val="DefaultParagraphFont"/>
    <w:uiPriority w:val="99"/>
    <w:semiHidden/>
    <w:qFormat/>
    <w:rsid w:val="00df2de8"/>
    <w:rPr>
      <w:color w:val="666666"/>
    </w:rPr>
  </w:style>
  <w:style w:type="character" w:styleId="Hyperlink">
    <w:name w:val="Hyperlink"/>
    <w:basedOn w:val="DefaultParagraphFont"/>
    <w:uiPriority w:val="99"/>
    <w:unhideWhenUsed/>
    <w:rsid w:val="004f7f7e"/>
    <w:rPr>
      <w:color w:themeColor="hyperlink" w:val="0563C1"/>
      <w:u w:val="single"/>
    </w:rPr>
  </w:style>
  <w:style w:type="character" w:styleId="UnresolvedMention">
    <w:name w:val="Unresolved Mention"/>
    <w:basedOn w:val="DefaultParagraphFont"/>
    <w:uiPriority w:val="99"/>
    <w:semiHidden/>
    <w:unhideWhenUsed/>
    <w:qFormat/>
    <w:rsid w:val="004f7f7e"/>
    <w:rPr>
      <w:color w:val="605E5C"/>
      <w:shd w:fill="E1DFDD" w:val="clear"/>
    </w:rPr>
  </w:style>
  <w:style w:type="character" w:styleId="CommentReference">
    <w:name w:val="annotation reference"/>
    <w:basedOn w:val="DefaultParagraphFont"/>
    <w:uiPriority w:val="99"/>
    <w:semiHidden/>
    <w:unhideWhenUsed/>
    <w:qFormat/>
    <w:rsid w:val="00e637e3"/>
    <w:rPr>
      <w:sz w:val="21"/>
      <w:szCs w:val="21"/>
    </w:rPr>
  </w:style>
  <w:style w:type="character" w:styleId="CommentTextChar" w:customStyle="1">
    <w:name w:val="Comment Text Char"/>
    <w:basedOn w:val="DefaultParagraphFont"/>
    <w:link w:val="CommentText"/>
    <w:uiPriority w:val="99"/>
    <w:qFormat/>
    <w:rsid w:val="00e637e3"/>
    <w:rPr/>
  </w:style>
  <w:style w:type="character" w:styleId="CommentSubjectChar" w:customStyle="1">
    <w:name w:val="Comment Subject Char"/>
    <w:basedOn w:val="CommentTextChar"/>
    <w:link w:val="annotationsubject"/>
    <w:uiPriority w:val="99"/>
    <w:semiHidden/>
    <w:qFormat/>
    <w:rsid w:val="00e637e3"/>
    <w:rPr>
      <w:b/>
      <w:bCs/>
    </w:rPr>
  </w:style>
  <w:style w:type="character" w:styleId="BalloonTextChar" w:customStyle="1">
    <w:name w:val="Balloon Text Char"/>
    <w:basedOn w:val="DefaultParagraphFont"/>
    <w:link w:val="BalloonText"/>
    <w:uiPriority w:val="99"/>
    <w:semiHidden/>
    <w:qFormat/>
    <w:rsid w:val="008a1c58"/>
    <w:rPr>
      <w:rFonts w:ascii="Segoe UI" w:hAnsi="Segoe UI" w:cs="Segoe UI"/>
      <w:sz w:val="18"/>
      <w:szCs w:val="18"/>
    </w:rPr>
  </w:style>
  <w:style w:type="character" w:styleId="HTMLPreformattedChar" w:customStyle="1">
    <w:name w:val="HTML Preformatted Char"/>
    <w:basedOn w:val="DefaultParagraphFont"/>
    <w:link w:val="HTMLPreformatted"/>
    <w:uiPriority w:val="99"/>
    <w:semiHidden/>
    <w:qFormat/>
    <w:rsid w:val="006157f1"/>
    <w:rPr>
      <w:rFonts w:ascii="Courier New" w:hAnsi="Courier New" w:cs="Courier New"/>
      <w:sz w:val="20"/>
      <w:szCs w:val="20"/>
    </w:rPr>
  </w:style>
  <w:style w:type="character" w:styleId="TitleChar" w:customStyle="1">
    <w:name w:val="Title Char"/>
    <w:basedOn w:val="DefaultParagraphFont"/>
    <w:link w:val="Title"/>
    <w:uiPriority w:val="10"/>
    <w:qFormat/>
    <w:rsid w:val="008b0160"/>
    <w:rPr>
      <w:rFonts w:ascii="Times New Roman" w:hAnsi="Times New Roman" w:eastAsia="等线 Light" w:cs="Times New Roman" w:eastAsiaTheme="majorEastAsia"/>
      <w:b/>
      <w:bCs/>
      <w:spacing w:val="-10"/>
      <w:kern w:val="2"/>
      <w:sz w:val="28"/>
      <w:szCs w:val="28"/>
    </w:rPr>
  </w:style>
  <w:style w:type="character" w:styleId="Heading1Char" w:customStyle="1">
    <w:name w:val="Heading 1 Char"/>
    <w:basedOn w:val="DefaultParagraphFont"/>
    <w:link w:val="Heading1"/>
    <w:uiPriority w:val="9"/>
    <w:qFormat/>
    <w:rsid w:val="00091636"/>
    <w:rPr>
      <w:rFonts w:ascii="Times New Roman" w:hAnsi="Times New Roman" w:eastAsia="等线 Light" w:cs="Times New Roman" w:eastAsiaTheme="majorEastAsia"/>
      <w:b/>
      <w:bCs/>
      <w:sz w:val="24"/>
      <w:szCs w:val="24"/>
    </w:rPr>
  </w:style>
  <w:style w:type="character" w:styleId="FollowedHyperlink">
    <w:name w:val="FollowedHyperlink"/>
    <w:basedOn w:val="DefaultParagraphFont"/>
    <w:uiPriority w:val="99"/>
    <w:semiHidden/>
    <w:unhideWhenUsed/>
    <w:rsid w:val="00a519bd"/>
    <w:rPr>
      <w:color w:themeColor="followedHyperlink" w:val="954F72"/>
      <w:u w:val="single"/>
    </w:rPr>
  </w:style>
  <w:style w:type="character" w:styleId="normalfirstChar" w:customStyle="1">
    <w:name w:val="normal_first Char"/>
    <w:basedOn w:val="DefaultParagraphFont"/>
    <w:link w:val="normalfirst"/>
    <w:qFormat/>
    <w:rsid w:val="00eb20fa"/>
    <w:rPr>
      <w:rFonts w:ascii="Times New Roman" w:hAnsi="Times New Roman" w:cs="Times New Roman"/>
      <w:sz w:val="24"/>
      <w:szCs w:val="24"/>
    </w:rPr>
  </w:style>
  <w:style w:type="character" w:styleId="Heading2Char" w:customStyle="1">
    <w:name w:val="Heading 2 Char"/>
    <w:basedOn w:val="DefaultParagraphFont"/>
    <w:link w:val="Heading2"/>
    <w:uiPriority w:val="9"/>
    <w:qFormat/>
    <w:rsid w:val="00eb20fa"/>
    <w:rPr>
      <w:rFonts w:ascii="Times New Roman" w:hAnsi="Times New Roman" w:eastAsia="等线 Light" w:cs="Times New Roman" w:eastAsiaTheme="majorEastAsia"/>
      <w:b/>
      <w:bCs/>
      <w:i/>
      <w:iCs/>
      <w:color w:themeColor="text1" w:val="000000"/>
      <w:sz w:val="24"/>
      <w:szCs w:val="24"/>
    </w:rPr>
  </w:style>
  <w:style w:type="character" w:styleId="authorsandaffChar" w:customStyle="1">
    <w:name w:val="authors_and_aff Char"/>
    <w:basedOn w:val="normalfirstChar"/>
    <w:link w:val="authorsandaff"/>
    <w:qFormat/>
    <w:rsid w:val="008b0160"/>
    <w:rPr>
      <w:rFonts w:ascii="Times New Roman" w:hAnsi="Times New Roman" w:cs="Times New Roman"/>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0f4f7d"/>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uiPriority w:val="99"/>
    <w:unhideWhenUsed/>
    <w:rsid w:val="000f4f7d"/>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unhideWhenUsed/>
    <w:rsid w:val="00e637e3"/>
    <w:pPr/>
    <w:rPr/>
  </w:style>
  <w:style w:type="paragraph" w:styleId="annotationsubject">
    <w:name w:val="annotation subject"/>
    <w:basedOn w:val="CommentText"/>
    <w:next w:val="CommentText"/>
    <w:link w:val="CommentSubjectChar"/>
    <w:uiPriority w:val="99"/>
    <w:semiHidden/>
    <w:unhideWhenUsed/>
    <w:qFormat/>
    <w:rsid w:val="00e637e3"/>
    <w:pPr/>
    <w:rPr>
      <w:b/>
      <w:bCs/>
    </w:rPr>
  </w:style>
  <w:style w:type="paragraph" w:styleId="BalloonText">
    <w:name w:val="Balloon Text"/>
    <w:basedOn w:val="Normal"/>
    <w:link w:val="BalloonTextChar"/>
    <w:uiPriority w:val="99"/>
    <w:semiHidden/>
    <w:unhideWhenUsed/>
    <w:qFormat/>
    <w:rsid w:val="008a1c58"/>
    <w:pPr>
      <w:spacing w:lineRule="auto" w:line="240" w:before="0" w:after="0"/>
    </w:pPr>
    <w:rPr>
      <w:rFonts w:ascii="Segoe UI" w:hAnsi="Segoe UI" w:cs="Segoe UI"/>
      <w:sz w:val="18"/>
      <w:szCs w:val="18"/>
    </w:rPr>
  </w:style>
  <w:style w:type="paragraph" w:styleId="Revision">
    <w:name w:val="Revision"/>
    <w:uiPriority w:val="99"/>
    <w:semiHidden/>
    <w:qFormat/>
    <w:rsid w:val="003a63ab"/>
    <w:pPr>
      <w:widowControl/>
      <w:bidi w:val="0"/>
      <w:spacing w:lineRule="auto" w:line="240" w:before="0" w:after="0"/>
      <w:jc w:val="start"/>
    </w:pPr>
    <w:rPr>
      <w:rFonts w:ascii="Calibri" w:hAnsi="Calibri" w:eastAsia="等线" w:cs="" w:asciiTheme="minorHAnsi" w:cstheme="minorBidi" w:eastAsiaTheme="minorEastAsia" w:hAnsiTheme="minorHAnsi"/>
      <w:color w:val="auto"/>
      <w:kern w:val="0"/>
      <w:sz w:val="22"/>
      <w:szCs w:val="22"/>
      <w:lang w:val="en-US" w:eastAsia="zh-CN" w:bidi="ar-SA"/>
    </w:rPr>
  </w:style>
  <w:style w:type="paragraph" w:styleId="Bibliography">
    <w:name w:val="Bibliography"/>
    <w:basedOn w:val="Normal"/>
    <w:next w:val="Normal"/>
    <w:uiPriority w:val="37"/>
    <w:unhideWhenUsed/>
    <w:qFormat/>
    <w:rsid w:val="000b60f3"/>
    <w:pPr>
      <w:spacing w:lineRule="auto" w:line="240" w:before="0" w:after="240"/>
      <w:ind w:hanging="720" w:start="720"/>
    </w:pPr>
    <w:rPr/>
  </w:style>
  <w:style w:type="paragraph" w:styleId="HTMLPreformatted">
    <w:name w:val="HTML Preformatted"/>
    <w:basedOn w:val="Normal"/>
    <w:link w:val="HTMLPreformattedChar"/>
    <w:uiPriority w:val="99"/>
    <w:semiHidden/>
    <w:unhideWhenUsed/>
    <w:qFormat/>
    <w:rsid w:val="006157f1"/>
    <w:pPr/>
    <w:rPr>
      <w:rFonts w:ascii="Courier New" w:hAnsi="Courier New" w:cs="Courier New"/>
      <w:sz w:val="20"/>
      <w:szCs w:val="20"/>
    </w:rPr>
  </w:style>
  <w:style w:type="paragraph" w:styleId="Title">
    <w:name w:val="Title"/>
    <w:basedOn w:val="Normal"/>
    <w:next w:val="Normal"/>
    <w:link w:val="TitleChar"/>
    <w:uiPriority w:val="10"/>
    <w:qFormat/>
    <w:rsid w:val="008b0160"/>
    <w:pPr>
      <w:spacing w:lineRule="auto" w:line="240" w:before="0" w:after="240"/>
      <w:ind w:hanging="0"/>
      <w:contextualSpacing/>
    </w:pPr>
    <w:rPr>
      <w:rFonts w:eastAsia="等线 Light" w:eastAsiaTheme="majorEastAsia"/>
      <w:b/>
      <w:bCs/>
      <w:spacing w:val="-10"/>
      <w:kern w:val="2"/>
      <w:sz w:val="28"/>
      <w:szCs w:val="28"/>
    </w:rPr>
  </w:style>
  <w:style w:type="paragraph" w:styleId="ListParagraph">
    <w:name w:val="List Paragraph"/>
    <w:basedOn w:val="Normal"/>
    <w:uiPriority w:val="34"/>
    <w:qFormat/>
    <w:rsid w:val="008f1a22"/>
    <w:pPr>
      <w:ind w:firstLineChars="200"/>
    </w:pPr>
    <w:rPr/>
  </w:style>
  <w:style w:type="paragraph" w:styleId="normalfirst" w:customStyle="1">
    <w:name w:val="normal_first"/>
    <w:basedOn w:val="Normal"/>
    <w:link w:val="normalfirstChar"/>
    <w:qFormat/>
    <w:rsid w:val="00eb20fa"/>
    <w:pPr>
      <w:ind w:hanging="0"/>
    </w:pPr>
    <w:rPr/>
  </w:style>
  <w:style w:type="paragraph" w:styleId="authorsandaff" w:customStyle="1">
    <w:name w:val="authors_and_aff"/>
    <w:basedOn w:val="normalfirst"/>
    <w:link w:val="authorsandaffChar"/>
    <w:qFormat/>
    <w:rsid w:val="008b0160"/>
    <w:pPr>
      <w:spacing w:lineRule="auto" w:line="240" w:before="0" w:after="1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cancer.sanger.ac.uk/signatures/documents/4/PCAWG7_indel_classification_2021_08_31.xlsx"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bmcbioinformatics.biomedcentral.com/articles/10.1186/s12859-020-03772-3" TargetMode="External"/><Relationship Id="rId7" Type="http://schemas.openxmlformats.org/officeDocument/2006/relationships/hyperlink" Target="https://doi.org/10.1016/j.celrep.2023.112930" TargetMode="External"/><Relationship Id="rId8" Type="http://schemas.openxmlformats.org/officeDocument/2006/relationships/hyperlink" Target="https://hgdownload.cse.ucsc.edu/goldenPath/hg19/encodeDCC/wgEncodeUwRepliSeq/" TargetMode="External"/><Relationship Id="rId9" Type="http://schemas.openxmlformats.org/officeDocument/2006/relationships/hyperlink" Target="https://genomebiology.biomedcentral.com/articles/10.1186/s13059-018-1509-y"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comments" Target="comments.xml"/><Relationship Id="rId14" Type="http://schemas.microsoft.com/office/2011/relationships/commentsExtended" Target="commentsExtended.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glossaryDocument" Target="glossary/document.xml"/><Relationship Id="rId20" Type="http://schemas.openxmlformats.org/officeDocument/2006/relationships/customXml" Target="../customXml/item1.xml"/><Relationship Id="rId21" Type="http://schemas.openxmlformats.org/officeDocument/2006/relationships/customXml" Target="../customXml/item2.xml"/><Relationship Id="rId22" Type="http://schemas.openxmlformats.org/officeDocument/2006/relationships/customXml" Target="../customXml/item3.xml"/><Relationship Id="rId23" Type="http://schemas.openxmlformats.org/officeDocument/2006/relationships/customXml" Target="../customXml/item4.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83F9D0F-6994-4807-B39D-4A90DECC0A51}"/>
      </w:docPartPr>
      <w:docPartBody>
        <w:p w:rsidR="000265FD" w:rsidRDefault="000265FD">
          <w:r w:rsidRPr="00311C7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5FD"/>
    <w:rsid w:val="00013DC2"/>
    <w:rsid w:val="00022403"/>
    <w:rsid w:val="000265FD"/>
    <w:rsid w:val="00034224"/>
    <w:rsid w:val="0003705B"/>
    <w:rsid w:val="00046B90"/>
    <w:rsid w:val="00047032"/>
    <w:rsid w:val="00087812"/>
    <w:rsid w:val="000963E9"/>
    <w:rsid w:val="000A2D8F"/>
    <w:rsid w:val="000C2FAC"/>
    <w:rsid w:val="000C5EDD"/>
    <w:rsid w:val="000D4079"/>
    <w:rsid w:val="000D7945"/>
    <w:rsid w:val="00105552"/>
    <w:rsid w:val="00115EC4"/>
    <w:rsid w:val="001239F1"/>
    <w:rsid w:val="00175A6B"/>
    <w:rsid w:val="001925AB"/>
    <w:rsid w:val="001B7519"/>
    <w:rsid w:val="001F555B"/>
    <w:rsid w:val="0025125E"/>
    <w:rsid w:val="00263BF2"/>
    <w:rsid w:val="002722AA"/>
    <w:rsid w:val="002A168B"/>
    <w:rsid w:val="003020F3"/>
    <w:rsid w:val="00341629"/>
    <w:rsid w:val="00357EC0"/>
    <w:rsid w:val="00361F99"/>
    <w:rsid w:val="00363FD3"/>
    <w:rsid w:val="0037481A"/>
    <w:rsid w:val="00375235"/>
    <w:rsid w:val="00384AA4"/>
    <w:rsid w:val="00396754"/>
    <w:rsid w:val="003D0634"/>
    <w:rsid w:val="003D7FAC"/>
    <w:rsid w:val="003E25B6"/>
    <w:rsid w:val="003E3342"/>
    <w:rsid w:val="003E7E0F"/>
    <w:rsid w:val="003F2736"/>
    <w:rsid w:val="004165A8"/>
    <w:rsid w:val="00422482"/>
    <w:rsid w:val="00422676"/>
    <w:rsid w:val="0048034F"/>
    <w:rsid w:val="00483217"/>
    <w:rsid w:val="00492925"/>
    <w:rsid w:val="004C58E8"/>
    <w:rsid w:val="004C7A6D"/>
    <w:rsid w:val="004F6966"/>
    <w:rsid w:val="00523627"/>
    <w:rsid w:val="005317D3"/>
    <w:rsid w:val="00534DF7"/>
    <w:rsid w:val="00546612"/>
    <w:rsid w:val="00557CCD"/>
    <w:rsid w:val="005B1ECB"/>
    <w:rsid w:val="005C3E8E"/>
    <w:rsid w:val="005E4330"/>
    <w:rsid w:val="00600C72"/>
    <w:rsid w:val="00626337"/>
    <w:rsid w:val="00632CB8"/>
    <w:rsid w:val="00634124"/>
    <w:rsid w:val="00640EEC"/>
    <w:rsid w:val="006448A7"/>
    <w:rsid w:val="00652C92"/>
    <w:rsid w:val="00695AC6"/>
    <w:rsid w:val="0069627E"/>
    <w:rsid w:val="00697A27"/>
    <w:rsid w:val="006B19E8"/>
    <w:rsid w:val="006E0F37"/>
    <w:rsid w:val="006E4FAA"/>
    <w:rsid w:val="006E67E3"/>
    <w:rsid w:val="007131D0"/>
    <w:rsid w:val="007134EB"/>
    <w:rsid w:val="007211AB"/>
    <w:rsid w:val="00732CB4"/>
    <w:rsid w:val="00736A43"/>
    <w:rsid w:val="00736F7D"/>
    <w:rsid w:val="00766357"/>
    <w:rsid w:val="007728FE"/>
    <w:rsid w:val="007852EF"/>
    <w:rsid w:val="007A4294"/>
    <w:rsid w:val="007D0936"/>
    <w:rsid w:val="007D638B"/>
    <w:rsid w:val="00822DF7"/>
    <w:rsid w:val="00835276"/>
    <w:rsid w:val="0085134D"/>
    <w:rsid w:val="008629B8"/>
    <w:rsid w:val="008731E2"/>
    <w:rsid w:val="00887D38"/>
    <w:rsid w:val="008D2C2E"/>
    <w:rsid w:val="008F3341"/>
    <w:rsid w:val="00903844"/>
    <w:rsid w:val="009069D1"/>
    <w:rsid w:val="0092418F"/>
    <w:rsid w:val="00935E29"/>
    <w:rsid w:val="00975BEB"/>
    <w:rsid w:val="00981EFF"/>
    <w:rsid w:val="009E56CE"/>
    <w:rsid w:val="009E603B"/>
    <w:rsid w:val="00A02748"/>
    <w:rsid w:val="00A10BD8"/>
    <w:rsid w:val="00A43319"/>
    <w:rsid w:val="00A543E2"/>
    <w:rsid w:val="00A568FE"/>
    <w:rsid w:val="00A757DF"/>
    <w:rsid w:val="00A97ED7"/>
    <w:rsid w:val="00AA1E28"/>
    <w:rsid w:val="00AC3C06"/>
    <w:rsid w:val="00AE026C"/>
    <w:rsid w:val="00AE0B7D"/>
    <w:rsid w:val="00AF79AE"/>
    <w:rsid w:val="00B17645"/>
    <w:rsid w:val="00B23970"/>
    <w:rsid w:val="00B4288D"/>
    <w:rsid w:val="00B526E5"/>
    <w:rsid w:val="00B52B68"/>
    <w:rsid w:val="00B90F76"/>
    <w:rsid w:val="00BA7F5C"/>
    <w:rsid w:val="00BE4664"/>
    <w:rsid w:val="00C5376A"/>
    <w:rsid w:val="00C72B37"/>
    <w:rsid w:val="00C743FE"/>
    <w:rsid w:val="00CA370A"/>
    <w:rsid w:val="00CA4B11"/>
    <w:rsid w:val="00CA7AB5"/>
    <w:rsid w:val="00CD1803"/>
    <w:rsid w:val="00D160E2"/>
    <w:rsid w:val="00D359AF"/>
    <w:rsid w:val="00D41C1D"/>
    <w:rsid w:val="00D605B5"/>
    <w:rsid w:val="00D66BF5"/>
    <w:rsid w:val="00D84AC5"/>
    <w:rsid w:val="00D9293B"/>
    <w:rsid w:val="00DA4F42"/>
    <w:rsid w:val="00DC0247"/>
    <w:rsid w:val="00DD3009"/>
    <w:rsid w:val="00DD3CFD"/>
    <w:rsid w:val="00DE5CE5"/>
    <w:rsid w:val="00DF0780"/>
    <w:rsid w:val="00DF707E"/>
    <w:rsid w:val="00E1001D"/>
    <w:rsid w:val="00E22559"/>
    <w:rsid w:val="00E55180"/>
    <w:rsid w:val="00E74567"/>
    <w:rsid w:val="00EA1D1B"/>
    <w:rsid w:val="00F41580"/>
    <w:rsid w:val="00F60165"/>
    <w:rsid w:val="00FB41B5"/>
    <w:rsid w:val="00FD14AB"/>
    <w:rsid w:val="00FE19AA"/>
    <w:rsid w:val="00FE67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29B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F6C6EA79DECA4438CEEEF1B06B7D479" ma:contentTypeVersion="11" ma:contentTypeDescription="Create a new document." ma:contentTypeScope="" ma:versionID="59306fbc696ac60d252eb5d7e9b2f234">
  <xsd:schema xmlns:xsd="http://www.w3.org/2001/XMLSchema" xmlns:xs="http://www.w3.org/2001/XMLSchema" xmlns:p="http://schemas.microsoft.com/office/2006/metadata/properties" xmlns:ns3="785bc66c-0f2f-4b4a-b219-0c59c8aa989f" targetNamespace="http://schemas.microsoft.com/office/2006/metadata/properties" ma:root="true" ma:fieldsID="d992e46d3823da1a4351aec5f2f9f9fb" ns3:_="">
    <xsd:import namespace="785bc66c-0f2f-4b4a-b219-0c59c8aa989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bc66c-0f2f-4b4a-b219-0c59c8aa98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EF22130-B7D7-4BC8-8939-CB3E550FD26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DCE581B-9398-4C92-88C6-584968675816}">
  <ds:schemaRefs>
    <ds:schemaRef ds:uri="http://schemas.microsoft.com/sharepoint/v3/contenttype/forms"/>
  </ds:schemaRefs>
</ds:datastoreItem>
</file>

<file path=customXml/itemProps3.xml><?xml version="1.0" encoding="utf-8"?>
<ds:datastoreItem xmlns:ds="http://schemas.openxmlformats.org/officeDocument/2006/customXml" ds:itemID="{E2F9EA07-7443-4F34-A467-8B9C532153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bc66c-0f2f-4b4a-b219-0c59c8aa98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51CE2B7-5A74-4FE4-B8D7-B5B70B4EE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TotalTime>
  <Application>LibreOffice/25.8.3.2$Linux_X86_64 LibreOffice_project/580$Build-2</Application>
  <AppVersion>15.0000</AppVersion>
  <Pages>3</Pages>
  <Words>9584</Words>
  <Characters>58108</Characters>
  <CharactersWithSpaces>67539</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2025-09-28T22:37:00Z</dcterms:created>
  <dc:creator>Mo Liu</dc:creator>
  <dc:description/>
  <dc:language>en-US</dc:language>
  <cp:lastModifiedBy>Steve Rozen, Ph.D.</cp:lastModifiedBy>
  <cp:lastPrinted>2025-06-06T09:23:00Z</cp:lastPrinted>
  <dcterms:modified xsi:type="dcterms:W3CDTF">2025-10-03T12:02:00Z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