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3"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4">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5">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pPr>
        <w:pStyle w:val="Heading1"/>
        <w:spacing w:before="0" w:after="120"/>
        <w:rPr/>
      </w:pPr>
      <w:r>
        <w:rPr>
          <w:rFonts w:hint="eastAsia"/>
        </w:rPr>
        <w:t>150</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(Figure 1, Table S1 &lt;rosetta_stone&gt; )</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eastAsia="DejaVu Sans" w:cs="DejaVu Sans" w:hint="eastAsia" w:ascii="DejaVu Sans" w:hAnsi="DejaVu Sans"/>
        </w:rPr>
        <w:t>→</w:t>
      </w:r>
      <w:r>
        <w:rPr/>
        <w:t>AA or ATTA</w:t>
      </w:r>
      <w:r>
        <w:rPr>
          <w:rFonts w:eastAsia="DejaVu Sans" w:cs="DejaVu Sans" w:hint="eastAsia" w:ascii="DejaVu Sans" w:hAnsi="DejaVu Sans"/>
        </w:rPr>
        <w:t>→</w:t>
      </w:r>
      <w:r>
        <w:rPr/>
        <w:t>ATA are distinguished from deletions of CTA</w:t>
      </w:r>
      <w:r>
        <w:rPr>
          <w:rFonts w:eastAsia="DejaVu Sans" w:cs="DejaVu Sans" w:hint="eastAsia" w:ascii="DejaVu Sans" w:hAnsi="DejaVu Sans"/>
        </w:rPr>
        <w:t>→</w:t>
      </w:r>
      <w:r>
        <w:rPr/>
        <w:t>CA or CTTA</w:t>
      </w:r>
      <w:r>
        <w:rPr>
          <w:rFonts w:eastAsia="DejaVu Sans" w:cs="DejaVu Sans" w:hint="eastAsia" w:ascii="DejaVu Sans" w:hAnsi="DejaVu Sans"/>
        </w:rPr>
        <w:t>→</w:t>
      </w:r>
      <w:r>
        <w:rPr/>
        <w:t>CTA, but the deletions CTA</w:t>
      </w:r>
      <w:r>
        <w:rPr>
          <w:rFonts w:eastAsia="DejaVu Sans" w:cs="DejaVu Sans" w:hint="eastAsia" w:ascii="DejaVu Sans" w:hAnsi="DejaVu Sans"/>
        </w:rPr>
        <w:t>→</w:t>
      </w:r>
      <w:r>
        <w:rPr/>
        <w:t>CA and CTTTTA</w:t>
      </w:r>
      <w:r>
        <w:rPr>
          <w:rFonts w:eastAsia="DejaVu San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eastAsia="DejaVu Sans" w:cs="DejaVu Sans" w:hint="eastAsia" w:ascii="DejaVu Sans" w:hAnsi="DejaVu Sans"/>
        </w:rPr>
        <w:t>→</w:t>
      </w:r>
      <w:r>
        <w:rPr/>
        <w:t>AA, CTA</w:t>
      </w:r>
      <w:r>
        <w:rPr>
          <w:rFonts w:eastAsia="DejaVu Sans" w:cs="DejaVu Sans" w:hint="eastAsia" w:ascii="DejaVu Sans" w:hAnsi="DejaVu Sans"/>
        </w:rPr>
        <w:t>→</w:t>
      </w:r>
      <w:r>
        <w:rPr/>
        <w:t>CA, and GTA</w:t>
      </w:r>
      <w:r>
        <w:rPr>
          <w:rFonts w:eastAsia="DejaVu Sans" w:cs="DejaVu Sans" w:hint="eastAsia" w:ascii="DejaVu Sans" w:hAnsi="DejaVu Sans"/>
        </w:rPr>
        <w:t>→</w:t>
      </w:r>
      <w:r>
        <w:rPr/>
        <w:t xml:space="preserve">GA. The classifications of indels of 2 or more bases are less intuitive. </w:t>
      </w:r>
      <w:r>
        <w:rPr>
          <w:shd w:fill="00FFFF" w:val="clear"/>
        </w:rPr>
        <w:t>Table S1 &lt;rosetta stone&gt;</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 </w:t>
      </w:r>
      <w:r>
        <w:rPr>
          <w:shd w:fill="00FFFF" w:val="clear"/>
        </w:rPr>
        <w:t>(</w:t>
      </w:r>
      <w:hyperlink r:id="rId8">
        <w:r>
          <w:rPr>
            <w:rStyle w:val="Hyperlink"/>
            <w:shd w:fill="00FFFF" w:val="clear"/>
          </w:rPr>
          <w:t>https://indelsignaturebrowser.shinyapps.io/indel-signature-browser/</w:t>
        </w:r>
      </w:hyperlink>
      <w:r>
        <w:rPr>
          <w:shd w:fill="00FFFF" w:val="clear"/>
        </w:rPr>
        <w:t xml:space="preserve"> Shorten last part if possible)</w:t>
      </w:r>
      <w:r>
        <w:rPr/>
        <w:t>.</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using a method based on hierarchical Dirichlet processes  </w:t>
      </w:r>
      <w:bookmarkStart w:id="13" w:name="ZOTERO_BREF_sXKgi2ptdMXh"/>
      <w:r>
        <w:rPr/>
        <w:t>(Liu et al. 2023)</w:t>
      </w:r>
      <w:bookmarkEnd w:id="13"/>
      <w:r>
        <w:rPr/>
        <w:t xml:space="preserve">, and a method based on non-negative matrix factorization </w:t>
      </w:r>
      <w:bookmarkStart w:id="14" w:name="ZOTERO_BREF_Ax2rB3g50il2"/>
      <w:r>
        <w:rPr/>
        <w:t>(Islam et al. 2022)</w:t>
      </w:r>
      <w:bookmarkEnd w:id="14"/>
      <w:r>
        <w:rPr/>
        <w:t xml:space="preserve">. The extracted signatures were broadly consistent between the two methods </w:t>
      </w:r>
      <w:r>
        <w:rPr>
          <w:shd w:fill="FFFF00" w:val="clear"/>
        </w:rPr>
        <w:t xml:space="preserve">(Table 1, </w:t>
      </w:r>
      <w:r>
        <w:rPr>
          <w:shd w:fill="00FFFF" w:val="clear"/>
        </w:rPr>
        <w:t>shiny app, make a reference for the zenodo site of the vignette; can we get a doi for the shiny app?</w:t>
      </w:r>
      <w:r>
        <w:rPr>
          <w:rFonts w:eastAsia="宋体" w:hint="eastAsia"/>
          <w:shd w:fill="00FFFF" w:val="clear"/>
        </w:rPr>
        <w:t>, Ta</w:t>
      </w:r>
      <w:r>
        <w:rPr>
          <w:rFonts w:eastAsia="宋体" w:hint="eastAsia"/>
          <w:highlight w:val="cyan"/>
          <w:shd w:fill="FFFF00" w:val="clear"/>
        </w:rPr>
        <w:t>ble S2-S8</w:t>
      </w:r>
      <w:r>
        <w:rPr>
          <w:shd w:fill="FFFF00" w:val="clear"/>
        </w:rPr>
        <w:t xml:space="preserve">), </w:t>
      </w:r>
      <w:r>
        <w:rPr/>
        <w:t>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 &lt;rosetta stone&gt;),</w:t>
      </w:r>
      <w:r>
        <w:rPr/>
        <w:t xml:space="preserve"> we used tumor mutational spectra dominated by individual signatures to systematically elucidate signature correspondences across classifiation schemes. </w:t>
      </w:r>
      <w:r>
        <w:rPr>
          <w:shd w:fill="00FFFF" w:val="clear"/>
        </w:rPr>
        <w:t>Table 1</w:t>
      </w:r>
      <w:r>
        <w:rPr/>
        <w:t xml:space="preserve"> shows the correspondencess, with details and discussion in </w:t>
      </w:r>
      <w:r>
        <w:rPr>
          <w:shd w:fill="00FFFF" w:val="clear"/>
        </w:rPr>
        <w:t>&lt;cite vignette and shiny app&gt;</w:t>
      </w:r>
    </w:p>
    <w:p>
      <w:pPr>
        <w:pStyle w:val="normalfirst"/>
        <w:ind w:firstLine="720"/>
        <w:rPr/>
      </w:pPr>
      <w:r>
        <w:rPr/>
        <w:t>In several cases, the 89 and 476 type systems were able to distinguish signatures that the 83-type sy</w:t>
      </w:r>
      <w:r>
        <w:rPr>
          <w:shd w:fill="auto" w:val="clear"/>
        </w:rPr>
        <w:t xml:space="preserve">stem merged. This is clearest for deletions of single T bases from tracts of </w:t>
      </w:r>
      <w:r>
        <w:rPr>
          <w:rFonts w:eastAsia="Liberation Serif" w:cs="Liberation Serif" w:ascii="Liberation Serif" w:hAnsi="Liberation Serif"/>
          <w:shd w:fill="auto" w:val="clear"/>
        </w:rPr>
        <w:t>≥</w:t>
      </w:r>
      <w:r>
        <w:rPr>
          <w:shd w:fill="auto" w:val="clear"/>
        </w:rP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is dominated by deletions of T from tracts of 5 to 7 Ts. InsDel2a and InsDel2c are dominated by deletions of </w:t>
      </w:r>
      <w:r>
        <w:rPr>
          <w:rFonts w:eastAsia="Liberation Serif" w:cs="Liberation Serif" w:ascii="Liberation Serif" w:hAnsi="Liberation Serif"/>
          <w:shd w:fill="auto" w:val="clear"/>
        </w:rPr>
        <w:t>≥ 8 Ts but are distinguised by InsDel2a’s preference of flanking A bases and InsDelc’s preference for flanking C bases.</w:t>
      </w:r>
      <w:r>
        <w:rPr>
          <w:shd w:fill="auto" w:val="clear"/>
        </w:rPr>
        <w:t xml:space="preserve"> </w:t>
      </w:r>
      <w:r>
        <w:rPr>
          <w:color w:val="000000"/>
          <w:shd w:fill="auto" w:val="clear"/>
        </w:rPr>
        <w:t xml:space="preserve">Insdel2a and InsDel2b are strongly enriched among MSI-H tumors </w:t>
      </w:r>
      <w:r>
        <w:rPr>
          <w:color w:val="000000"/>
          <w:shd w:fill="00FFFF" w:val="clear"/>
        </w:rPr>
        <w:t>&lt;reference new plot based on fisher test?&gt;</w:t>
      </w:r>
      <w:r>
        <w:rPr>
          <w:color w:val="000000"/>
          <w:shd w:fill="auto" w:val="clear"/>
        </w:rPr>
        <w:t>.</w:t>
      </w:r>
    </w:p>
    <w:p>
      <w:pPr>
        <w:pStyle w:val="normalfirst"/>
        <w:ind w:firstLine="720"/>
        <w:rPr/>
      </w:pPr>
      <w:r>
        <w:rPr>
          <w:shd w:fill="auto" w:val="clear"/>
        </w:rPr>
        <w:t xml:space="preserve">The ability of the 89 and 476-type systems to distinugish signatures that the 83 type merged was also clear for insertions of of single T bases into tracts of </w:t>
      </w:r>
      <w:r>
        <w:rPr>
          <w:rFonts w:eastAsia="Liberation Serif" w:cs="Liberation Serif" w:ascii="Liberation Serif" w:hAnsi="Liberation Serif"/>
          <w:shd w:fill="auto" w:val="clear"/>
        </w:rPr>
        <w:t>≥</w:t>
      </w:r>
      <w:r>
        <w:rPr>
          <w:shd w:fill="auto" w:val="clear"/>
        </w:rPr>
        <w:t xml:space="preserve"> 5 Ts. In the 83-type classification these constitute a single class of &gt; 3.3 million insertions, and COSMIC reference signature ID1 in the 83-type system consists exclusivly of this class of insertions. InsDel1a has the largest proportion of insertions into tracts of </w:t>
      </w:r>
      <w:r>
        <w:rPr>
          <w:rFonts w:eastAsia="Liberation Serif" w:cs="Liberation Serif" w:ascii="Liberation Serif" w:hAnsi="Liberation Serif"/>
          <w:shd w:fill="auto" w:val="clear"/>
        </w:rPr>
        <w:t>≥</w:t>
      </w:r>
      <w:r>
        <w:rPr>
          <w:shd w:fill="auto" w:val="clear"/>
        </w:rPr>
        <w:t xml:space="preserve"> 8T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 with high propoportions of InsDel1b (&gt; 0.4) have mutationions in the proofreading domain of polymerase epsilon </w:t>
      </w:r>
      <w:r>
        <w:rPr>
          <w:shd w:fill="00FFFF" w:val="clear"/>
        </w:rPr>
        <w:t>&lt;references for pole, table s9, Koh (InD15)&gt;</w:t>
      </w:r>
      <w:r>
        <w:rPr>
          <w:shd w:fill="auto" w:val="clear"/>
        </w:rPr>
        <w:t>.</w:t>
      </w:r>
    </w:p>
    <w:p>
      <w:pPr>
        <w:pStyle w:val="normalfirst"/>
        <w:ind w:firstLine="720"/>
        <w:rPr/>
      </w:pPr>
      <w:r>
        <w:rPr>
          <w:rFonts w:eastAsia="宋体" w:hint="eastAsia"/>
        </w:rPr>
        <w:t xml:space="preserve">However, there were two cases in which the 83-type and 476 type systems clearly differentiated signatures that were almost identical the 89-type system. One case consisted of InsDel13 and </w:t>
      </w:r>
      <w:r>
        <w:rPr>
          <w:rFonts w:eastAsia="宋体" w:hint="eastAsia"/>
        </w:rPr>
        <w:t>InsDelC. These</w:t>
      </w:r>
      <w:r>
        <w:rPr>
          <w:rFonts w:eastAsia="宋体" w:hint="eastAsia"/>
        </w:rPr>
        <w:t xml:space="preserve"> are nearly identical in the 89-type system, </w:t>
      </w:r>
      <w:r>
        <w:rPr>
          <w:rFonts w:eastAsia="宋体" w:hint="eastAsia"/>
        </w:rPr>
        <w:t>which groups</w:t>
      </w:r>
      <w:r>
        <w:rPr>
          <w:rFonts w:eastAsia="宋体" w:hint="eastAsia"/>
        </w:rPr>
        <w:t xml:space="preserve"> deletion</w:t>
      </w:r>
      <w:r>
        <w:rPr>
          <w:rFonts w:eastAsia="宋体" w:hint="eastAsia"/>
        </w:rPr>
        <w:t>s</w:t>
      </w:r>
      <w:r>
        <w:rPr>
          <w:rFonts w:eastAsia="宋体" w:hint="eastAsia"/>
        </w:rPr>
        <w:t xml:space="preserve"> of single Ts in stretches of 1, 2, 3, or 4 Ts </w:t>
      </w:r>
      <w:r>
        <w:rPr>
          <w:rFonts w:eastAsia="宋体" w:hint="eastAsia"/>
        </w:rPr>
        <w:t>as a single deletion type</w:t>
      </w:r>
      <w:r>
        <w:rPr>
          <w:rFonts w:eastAsia="宋体" w:hint="eastAsia"/>
        </w:rPr>
        <w:t>. However the 83 and 476 type systems show that InsDelC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shd w:fill="auto" w:val="clear"/>
        </w:rPr>
        <w:t xml:space="preserve"> </w:t>
      </w:r>
      <w:r>
        <w:rPr>
          <w:rFonts w:eastAsia="宋体" w:hint="eastAsia"/>
          <w:shd w:fill="auto" w:val="clear"/>
        </w:rPr>
        <w:t>Th</w:t>
      </w:r>
      <w:r>
        <w:rPr>
          <w:rFonts w:eastAsia="宋体" w:hint="eastAsia"/>
        </w:rPr>
        <w:t>e other case consisted of InsDel11 and InsDel16. InsDel11 has insertions of one C next to an isolated C (C with non-Cs on each side, e.g. ACG</w:t>
      </w:r>
      <w:r>
        <w:rPr>
          <w:rFonts w:eastAsia="DejaVu Sans" w:cs="DejaVu Sans" w:hint="eastAsia" w:ascii="DejaVu Sans" w:hAnsi="DejaVu Sans"/>
        </w:rPr>
        <w:t>→</w:t>
      </w:r>
      <w:r>
        <w:rPr>
          <w:rFonts w:eastAsia="宋体" w:hint="eastAsia"/>
        </w:rPr>
        <w:t>ACCG) and insertion of a one T next to an isolated T (e.g. GTG</w:t>
      </w:r>
      <w:r>
        <w:rPr>
          <w:rFonts w:eastAsia="DejaVu Sans" w:cs="DejaVu Sans" w:hint="eastAsia" w:ascii="DejaVu Sans" w:hAnsi="DejaVu Sans"/>
        </w:rPr>
        <w:t>→</w:t>
      </w:r>
      <w:r>
        <w:rPr>
          <w:rFonts w:eastAsia="宋体" w:hint="eastAsia"/>
        </w:rPr>
        <w:t>GTTG). InsDel16 has insertion of one C between non-Cs (e.g. AT</w:t>
      </w:r>
      <w:r>
        <w:rPr>
          <w:rFonts w:eastAsia="DejaVu Sans" w:cs="DejaVu Sans" w:hint="eastAsia" w:ascii="DejaVu Sans" w:hAnsi="DejaVu Sans"/>
        </w:rPr>
        <w:t>→</w:t>
      </w:r>
      <w:r>
        <w:rPr>
          <w:rFonts w:eastAsia="宋体" w:hint="eastAsia"/>
        </w:rPr>
        <w:t>ACT), and insertion of one T between non-Ts (e.g. AG</w:t>
      </w:r>
      <w:r>
        <w:rPr>
          <w:rFonts w:eastAsia="DejaVu San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r>
        <w:rPr>
          <w:shd w:fill="00FFFF" w:val="clear"/>
        </w:rPr>
        <w:t>&lt;cite chinese liver cancer paper&gt;.</w:t>
      </w:r>
    </w:p>
    <w:p>
      <w:pPr>
        <w:pStyle w:val="normalfirst"/>
        <w:rPr>
          <w:b/>
          <w:bCs/>
          <w:i/>
          <w:iCs/>
        </w:rPr>
      </w:pPr>
      <w:r>
        <w:rPr>
          <w:b/>
          <w:bCs/>
          <w:i/>
          <w:iCs/>
        </w:rPr>
        <w:t>PARAGRAPH InsDel17 (top2A) vs InsDel8</w:t>
      </w:r>
    </w:p>
    <w:p>
      <w:pPr>
        <w:pStyle w:val="normalfirst"/>
        <w:rPr>
          <w:b/>
          <w:bCs/>
          <w:i/>
          <w:iCs/>
        </w:rPr>
      </w:pPr>
      <w:r>
        <w:rPr>
          <w:b/>
          <w:bCs/>
          <w:i/>
          <w:iCs/>
        </w:rPr>
        <w:t xml:space="preserve">PARAGRAPH: A_beta looks like apobec in (already known) / a alpha not correlated  A beta is TCA → TA and TCT → TT, SBS2 TCA →  TTA, TCT → TTT SBS13 is TCA → TGA, TCT -&gt;TGT </w:t>
      </w:r>
      <w:hyperlink r:id="rId9">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rStyle w:val="Hyperlink"/>
          <w:b/>
          <w:bCs/>
          <w:i/>
          <w:iCs/>
          <w:color w:val="000000"/>
          <w:u w:val="none"/>
        </w:rPr>
        <w:t xml:space="preserve">MAYBE: </w:t>
      </w:r>
      <w:r>
        <w:rPr>
          <w:b/>
          <w:bCs/>
          <w:i/>
          <w:iCs/>
        </w:rPr>
        <w:t>Sig H – 476 doesn’t really capture it</w:t>
      </w:r>
    </w:p>
    <w:p>
      <w:pPr>
        <w:pStyle w:val="normalfirst"/>
        <w:rPr>
          <w:b/>
          <w:bCs/>
          <w:i/>
          <w:iCs/>
        </w:rPr>
      </w:pPr>
      <w:r>
        <w:rPr>
          <w:b/>
          <w:bCs/>
          <w:i/>
          <w:iCs/>
        </w:rPr>
        <w:t>PARAGRAPH N_beta is the new ID2</w:t>
      </w:r>
    </w:p>
    <w:p>
      <w:pPr>
        <w:pStyle w:val="Normal"/>
        <w:rPr/>
      </w:pPr>
      <w:r>
        <w:rPr/>
        <w:t>&lt;but this sentence above in subsection on splitting 1 and 2&gt; , InsDel1b accounted for a greater number of mutations in colon cancer and was associated with POLE deficiency and impaired DNA mismatch repair (</w:t>
      </w:r>
      <w:commentRangeStart w:id="0"/>
      <w:r>
        <w:rPr>
          <w:highlight w:val="cyan"/>
          <w:shd w:fill="00FFFF" w:val="clear"/>
        </w:rPr>
        <w:t>Table S</w:t>
      </w:r>
      <w:r>
        <w:rPr>
          <w:highlight w:val="cyan"/>
          <w:shd w:fill="00FFFF" w:val="clear"/>
        </w:rPr>
      </w:r>
      <w:commentRangeEnd w:id="0"/>
      <w:r>
        <w:commentReference w:id="0"/>
      </w:r>
      <w:r>
        <w:rPr>
          <w:rFonts w:eastAsia="宋体" w:hint="eastAsia"/>
        </w:rPr>
        <w:t>9</w:t>
      </w:r>
      <w:r>
        <w:rPr/>
        <w:t>; as also suggested by Koh et al., 2025)</w:t>
      </w:r>
      <w:r>
        <w:rPr>
          <w:highlight w:val="cyan"/>
        </w:rPr>
        <w:t>.</w:t>
      </w:r>
      <w:r>
        <w:rPr>
          <w:rFonts w:eastAsia="宋体" w:hint="eastAsia"/>
          <w:highlight w:val="cyan"/>
        </w:rPr>
        <w:t xml:space="preserve"> &lt;not sure where this goes&gt;</w:t>
      </w:r>
      <w:r>
        <w:rPr>
          <w:rFonts w:eastAsia="宋体" w:hint="eastAsia"/>
        </w:rPr>
        <w:t xml:space="preserve"> </w:t>
      </w:r>
      <w:r>
        <w:rPr/>
        <w:t>A similar pattern was observed for ID_N, which was found in all cancer types. Its sub-signature, InsDel_N</w:t>
      </w:r>
      <w:r>
        <w:rPr>
          <w:rFonts w:eastAsia="宋体"/>
        </w:rPr>
        <w:t>α</w:t>
      </w:r>
      <w:r>
        <w:rPr/>
        <w:t>, was specifically linked to POLE mutations and mismatch repair deficiency, whereas InsDel_N</w:t>
      </w:r>
      <w:r>
        <w:rPr>
          <w:rFonts w:eastAsia="宋体"/>
        </w:rPr>
        <w:t>β</w:t>
      </w:r>
      <w:r>
        <w:rPr/>
        <w:t xml:space="preserve"> was prevalent across a broad range of cancer types.</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Correlation analysis showed that the 89-type signature classification can distinguish more nuanced mutational processes than the 83-type scheme </w:t>
      </w:r>
      <w:r>
        <w:rPr>
          <w:shd w:fill="00FFFF" w:val="clear"/>
        </w:rPr>
        <w:t>&lt;need a visual or a table or something to show “more nuanced” (above) and “improved resolution” (next sentence)&gt;</w:t>
      </w:r>
      <w:r>
        <w:rP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fill="00FFFF" w:val="clear"/>
        </w:rPr>
        <w:t>(Figure 5)</w:t>
      </w:r>
      <w:r>
        <w:rPr/>
        <w:t>. The APOBEC-related cluster includes SBS2 and SBS13 and showes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C</w:t>
      </w:r>
      <w:r>
        <w:rPr>
          <w:highlight w:val="cyan"/>
        </w:rPr>
        <w:t xml:space="preserve">, Table </w:t>
      </w:r>
      <w:r>
        <w:rPr>
          <w:rFonts w:hint="eastAsia"/>
          <w:highlight w:val="cyan"/>
        </w:rPr>
        <w:t>S</w:t>
      </w:r>
      <w:r>
        <w:rPr>
          <w:rFonts w:eastAsia="宋体" w:hint="eastAsia"/>
          <w:highlight w:val="cyan"/>
        </w:rPr>
        <w:t>12</w:t>
      </w:r>
      <w:r>
        <w:rPr/>
        <w:t>). Signatures attributed to exogenous mutational processes, such as C_ID3 (tobacco smoking exposure), C_ID14 (</w:t>
      </w:r>
      <w:r>
        <w:rPr>
          <w:rFonts w:hint="eastAsia"/>
        </w:rPr>
        <w:t>SBS93 correlated</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B</w:t>
      </w:r>
      <w:r>
        <w:rPr>
          <w:highlight w:val="cyan"/>
        </w:rPr>
        <w:t xml:space="preserve">, Table </w:t>
      </w:r>
      <w:r>
        <w:rPr>
          <w:rFonts w:hint="eastAsia"/>
          <w:highlight w:val="cyan"/>
        </w:rPr>
        <w:t>S</w:t>
      </w:r>
      <w:r>
        <w:rPr>
          <w:rFonts w:eastAsia="宋体" w:hint="eastAsia"/>
          <w:highlight w:val="cyan"/>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3</w:t>
      </w:r>
      <w:r>
        <w:rPr>
          <w:highlight w:val="cyan"/>
        </w:rPr>
        <w:t>,</w:t>
      </w:r>
      <w:r>
        <w:rPr/>
        <w:t xml:space="preserve"> </w:t>
      </w:r>
      <w:r>
        <w:rPr>
          <w:highlight w:val="cyan"/>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highlight w:val="cyan"/>
        </w:rPr>
        <w:t>Figure S</w:t>
      </w:r>
      <w:r>
        <w:rPr>
          <w:rFonts w:eastAsia="宋体" w:hint="eastAsia"/>
          <w:highlight w:val="cyan"/>
        </w:rPr>
        <w:t>4</w:t>
      </w:r>
      <w:r>
        <w:rPr>
          <w:highlight w:val="cyan"/>
        </w:rPr>
        <w:t>, Table S</w:t>
      </w:r>
      <w:r>
        <w:rPr>
          <w:rFonts w:eastAsia="宋体" w:hint="eastAsia"/>
          <w:highlight w:val="cyan"/>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highlight w:val="cyan"/>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rFonts w:eastAsia="宋体"/>
        </w:rPr>
      </w:pPr>
      <w:r>
        <w:rPr/>
        <w:t>Demographic Associations</w:t>
      </w:r>
      <w:r>
        <w:rPr>
          <w:rFonts w:eastAsia="宋体" w:hint="eastAsia"/>
        </w:rPr>
        <w:t xml:space="preserve"> with Gender and Age</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highlight w:val="cyan"/>
        </w:rPr>
        <w:t>Figure S6A,</w:t>
      </w:r>
      <w:r>
        <w:rPr>
          <w:rFonts w:eastAsia="宋体" w:hint="eastAsia"/>
        </w:rPr>
        <w:t xml:space="preserve"> </w:t>
      </w:r>
      <w:r>
        <w:rPr>
          <w:rFonts w:eastAsia="宋体" w:hint="eastAsia"/>
          <w:highlight w:val="cyan"/>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highlight w:val="cyan"/>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Pr>
          <w:rFonts w:eastAsia="宋体" w:hint="eastAsia"/>
          <w:highlight w:val="cyan"/>
        </w:rPr>
        <w:t>Table S16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Normal"/>
        <w:rPr>
          <w:rFonts w:eastAsia="宋体"/>
        </w:rPr>
      </w:pPr>
      <w:r>
        <w:rPr>
          <w:rFonts w:eastAsia="宋体"/>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w:t>
      </w:r>
      <w:r>
        <w:rPr>
          <w:rFonts w:eastAsia="宋体" w:hint="eastAsia"/>
        </w:rPr>
        <w:t>32</w:t>
      </w:r>
      <w:r>
        <w:rPr/>
        <w:t xml:space="preserve"> cancer types from the PCAWG and HMF cohorts. As the first study to apply </w:t>
      </w:r>
      <w:r>
        <w:rPr>
          <w:rFonts w:eastAsia="宋体" w:hint="eastAsia"/>
        </w:rPr>
        <w:t>all indel</w:t>
      </w:r>
      <w:r>
        <w:rPr/>
        <w:t xml:space="preserve"> taxonomies</w:t>
      </w:r>
      <w:r>
        <w:rPr>
          <w:rFonts w:eastAsia="宋体" w:hint="eastAsia"/>
        </w:rPr>
        <w:t xml:space="preserve">, </w:t>
      </w:r>
      <w:r>
        <w:rPr/>
        <w:t>the 83-type and 89-type</w:t>
      </w:r>
      <w:r>
        <w:rPr>
          <w:rFonts w:eastAsia="宋体" w:hint="eastAsia"/>
        </w:rPr>
        <w:t xml:space="preserve"> and 476-type,</w:t>
      </w:r>
      <w:r>
        <w:rPr/>
        <w:t xml:space="preserve"> to such a large dataset, we established a comprehensive catalog of 3</w:t>
      </w:r>
      <w:r>
        <w:rPr>
          <w:rFonts w:eastAsia="宋体" w:hint="eastAsia"/>
        </w:rPr>
        <w:t>4</w:t>
      </w:r>
      <w:r>
        <w:rPr/>
        <w:t xml:space="preserve"> 83-type and 4</w:t>
      </w:r>
      <w:r>
        <w:rPr>
          <w:rFonts w:eastAsia="宋体" w:hint="eastAsia"/>
        </w:rPr>
        <w:t>4</w:t>
      </w:r>
      <w:r>
        <w:rP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rP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10">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11">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2">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1"/>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1"/>
      <w:r>
        <w:commentReference w:id="1"/>
      </w:r>
      <w:r>
        <w:rPr>
          <w:rFonts w:eastAsia="宋体" w:hint="eastAsia"/>
        </w:rPr>
        <w:t>.</w:t>
      </w:r>
    </w:p>
    <w:p>
      <w:pPr>
        <w:pStyle w:val="normalfirst"/>
        <w:ind w:firstLineChars="200"/>
        <w:rPr/>
      </w:pPr>
      <w:commentRangeStart w:id="2"/>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2"/>
      <w:r>
        <w:commentReference w:id="2"/>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3">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4">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5">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6">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7"/>
      <w:footerReference w:type="default" r:id="rId18"/>
      <w:footerReference w:type="first" r:id="rId19"/>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08T11:29:00Z" w:initials="ML">
    <w:p>
      <w:pPr>
        <w:overflowPunct w:val="true"/>
        <w:spacing w:lineRule="auto" w:line="240" w:before="0" w:after="0"/>
        <w:rPr/>
      </w:pPr>
      <w:r>
        <w:annotationRef/>
      </w:r>
      <w:r>
        <w:rPr>
          <w:rFonts w:eastAsia="宋体" w:cs="Noto Sans Arabic UI" w:ascii="Calibri" w:hAnsi="Calibri"/>
          <w:sz w:val="22"/>
          <w:szCs w:val="22"/>
        </w:rPr>
        <w:t>I put all related anlaysis in Table S9 for now</w:t>
      </w:r>
    </w:p>
  </w:comment>
  <w:comment w:id="1" w:author="Mo Liu" w:date="2026-04-07T16:26:00Z" w:initials="ML">
    <w:p>
      <w:pPr>
        <w:overflowPunct w:val="false"/>
        <w:spacing w:lineRule="auto" w:line="240" w:before="0" w:after="0"/>
        <w:rPr/>
      </w:pPr>
      <w:r>
        <w:annotationRef/>
      </w:r>
      <w:r>
        <w:rPr>
          <w:rFonts w:eastAsia="宋体" w:cs="Noto Sans Arabic UI" w:ascii="Calibri" w:hAnsi="Calibri"/>
          <w:sz w:val="22"/>
          <w:szCs w:val="22"/>
        </w:rPr>
        <w:t>Mo edit</w:t>
      </w:r>
    </w:p>
  </w:comment>
  <w:comment w:id="2" w:author="Mo Liu" w:date="2026-04-07T16:27:00Z" w:initials="ML">
    <w:p>
      <w:pPr>
        <w:overflowPunct w:val="false"/>
        <w:spacing w:lineRule="auto" w:line="240" w:before="0" w:after="0"/>
        <w:rPr/>
      </w:pPr>
      <w:r>
        <w:annotationRef/>
      </w:r>
      <w:r>
        <w:rPr>
          <w:rFonts w:eastAsia="宋体" w:cs="Noto Sans Arabic UI" w:ascii="Calibri" w:hAnsi="Calibri"/>
          <w:sz w:val="22"/>
          <w:szCs w:val="22"/>
        </w:rPr>
        <w:t>To Steve: Please check if you edited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Google Sans">
    <w:altName w:val="Roboto"/>
    <w:charset w:val="01" w:characterSet="utf-8"/>
    <w:family w:val="roman"/>
    <w:pitch w:val="variable"/>
  </w:font>
  <w:font w:name="DejaVu Sans">
    <w:charset w:val="01" w:characterSet="utf-8"/>
    <w:family w:val="swiss"/>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manusights.com/blog/cell-formatting-requirements" TargetMode="External"/><Relationship Id="rId4" Type="http://schemas.openxmlformats.org/officeDocument/2006/relationships/hyperlink" Target="https://www.cell.com/cell-genomics/information-for-authors/article-types" TargetMode="External"/><Relationship Id="rId5" Type="http://schemas.openxmlformats.org/officeDocument/2006/relationships/hyperlink" Target="https://manusights.com/blog/cell-formatting-requirements" TargetMode="External"/><Relationship Id="rId6" Type="http://schemas.openxmlformats.org/officeDocument/2006/relationships/hyperlink" Target="https://www.cell.com/multi-journal-submission/authors" TargetMode="External"/><Relationship Id="rId7" Type="http://schemas.openxmlformats.org/officeDocument/2006/relationships/hyperlink" Target="https://www.cell.com/cell/information-for-authors/article-types" TargetMode="External"/><Relationship Id="rId8" Type="http://schemas.openxmlformats.org/officeDocument/2006/relationships/hyperlink" Target="https://indelsignaturebrowser.shinyapps.io/indel-signature-browser/" TargetMode="External"/><Relationship Id="rId9" Type="http://schemas.openxmlformats.org/officeDocument/2006/relationships/hyperlink" Target="https://www.sciencedirect.com/science/article/pii/S2211124722002996" TargetMode="External"/><Relationship Id="rId10" Type="http://schemas.openxmlformats.org/officeDocument/2006/relationships/hyperlink" Target="https://dcc.icgc.org/releases/current/Projects/" TargetMode="External"/><Relationship Id="rId11" Type="http://schemas.openxmlformats.org/officeDocument/2006/relationships/hyperlink" Target="https://cancer.sanger.ac.uk/cosmic/census?tier=1" TargetMode="External"/><Relationship Id="rId12" Type="http://schemas.openxmlformats.org/officeDocument/2006/relationships/hyperlink" Target="https://cancer.sanger.ac.uk/signatures/id/" TargetMode="External"/><Relationship Id="rId13" Type="http://schemas.openxmlformats.org/officeDocument/2006/relationships/hyperlink" Target="https://bmcbioinformatics.biomedcentral.com/articles/10.1186/s12859-020-03772-3" TargetMode="External"/><Relationship Id="rId14" Type="http://schemas.openxmlformats.org/officeDocument/2006/relationships/hyperlink" Target="https://doi.org/10.1016/j.celrep.2023.112930" TargetMode="External"/><Relationship Id="rId15" Type="http://schemas.openxmlformats.org/officeDocument/2006/relationships/hyperlink" Target="https://hgdownload.cse.ucsc.edu/goldenPath/hg19/encodeDCC/wgEncodeUwRepliSeq/" TargetMode="External"/><Relationship Id="rId16" Type="http://schemas.openxmlformats.org/officeDocument/2006/relationships/hyperlink" Target="https://genomebiology.biomedcentral.com/articles/10.1186/s13059-018-1509-y"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comments" Target="comment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222</TotalTime>
  <Application>LibreOffice/26.2.2.2$Linux_X86_64 LibreOffice_project/620$Build-2</Application>
  <AppVersion>15.0000</AppVersion>
  <Pages>30</Pages>
  <Words>7382</Words>
  <Characters>44426</Characters>
  <CharactersWithSpaces>51680</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2026-05-09T06:03:00Z</dcterms:created>
  <dc:creator>Mo Liu</dc:creator>
  <dc:description/>
  <dc:language>en-US</dc:language>
  <cp:lastModifiedBy/>
  <cp:lastPrinted>2025-06-06T09:23:00Z</cp:lastPrinted>
  <dcterms:modified xsi:type="dcterms:W3CDTF">2026-05-11T09:42:45Z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