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t>By contrast, Insdel4 has xx % 2-base deletions with microhomology. Tumor XX has 3% AGA to A mutations and 2% ACA to A mutations.</w:t>
      </w:r>
    </w:p>
    <w:p>
      <w:pPr>
        <w:pStyle w:val="Normal"/>
        <w:bidi w:val="0"/>
        <w:spacing w:lineRule="auto" w:line="480"/>
        <w:jc w:val="start"/>
        <w:rPr/>
      </w:pPr>
      <w:r>
        <w:rPr/>
      </w:r>
    </w:p>
    <w:tbl>
      <w:tblPr>
        <w:tblW w:w="5000" w:type="pct"/>
        <w:jc w:val="start"/>
        <w:tblInd w:w="-5" w:type="dxa"/>
        <w:tblLayout w:type="fixed"/>
        <w:tblCellMar>
          <w:top w:w="55" w:type="dxa"/>
          <w:start w:w="55" w:type="dxa"/>
          <w:bottom w:w="55" w:type="dxa"/>
          <w:end w:w="55" w:type="dxa"/>
        </w:tblCellMar>
      </w:tblPr>
      <w:tblGrid>
        <w:gridCol w:w="1424"/>
        <w:gridCol w:w="1425"/>
        <w:gridCol w:w="1424"/>
        <w:gridCol w:w="1425"/>
        <w:gridCol w:w="1424"/>
        <w:gridCol w:w="1425"/>
        <w:gridCol w:w="1425"/>
      </w:tblGrid>
      <w:tr>
        <w:trPr/>
        <w:tc>
          <w:tcPr>
            <w:tcW w:w="1424" w:type="dxa"/>
            <w:tcBorders>
              <w:top w:val="single" w:sz="4" w:space="0" w:color="000000"/>
              <w:start w:val="single" w:sz="4" w:space="0" w:color="000000"/>
              <w:bottom w:val="single" w:sz="4" w:space="0" w:color="000000"/>
            </w:tcBorders>
          </w:tcPr>
          <w:p>
            <w:pPr>
              <w:pStyle w:val="TableContents"/>
              <w:rPr/>
            </w:pPr>
            <w:r>
              <w:rPr/>
            </w:r>
          </w:p>
        </w:tc>
        <w:tc>
          <w:tcPr>
            <w:tcW w:w="1425" w:type="dxa"/>
            <w:tcBorders>
              <w:top w:val="single" w:sz="4" w:space="0" w:color="000000"/>
              <w:start w:val="single" w:sz="4" w:space="0" w:color="000000"/>
              <w:bottom w:val="single" w:sz="4" w:space="0" w:color="000000"/>
            </w:tcBorders>
          </w:tcPr>
          <w:p>
            <w:pPr>
              <w:pStyle w:val="TableContents"/>
              <w:rPr/>
            </w:pPr>
            <w:r>
              <w:rPr/>
              <w:t>F</w:t>
            </w:r>
          </w:p>
        </w:tc>
        <w:tc>
          <w:tcPr>
            <w:tcW w:w="1424" w:type="dxa"/>
            <w:tcBorders>
              <w:top w:val="single" w:sz="4" w:space="0" w:color="000000"/>
              <w:start w:val="single" w:sz="4" w:space="0" w:color="000000"/>
              <w:bottom w:val="single" w:sz="4" w:space="0" w:color="000000"/>
            </w:tcBorders>
          </w:tcPr>
          <w:p>
            <w:pPr>
              <w:pStyle w:val="TableContents"/>
              <w:rPr/>
            </w:pPr>
            <w:r>
              <w:rPr/>
              <w:t>F linking</w:t>
            </w:r>
          </w:p>
        </w:tc>
        <w:tc>
          <w:tcPr>
            <w:tcW w:w="1425" w:type="dxa"/>
            <w:tcBorders>
              <w:top w:val="single" w:sz="4" w:space="0" w:color="000000"/>
              <w:start w:val="single" w:sz="4" w:space="0" w:color="000000"/>
              <w:bottom w:val="single" w:sz="4" w:space="0" w:color="000000"/>
            </w:tcBorders>
          </w:tcPr>
          <w:p>
            <w:pPr>
              <w:pStyle w:val="TableContents"/>
              <w:rPr/>
            </w:pPr>
            <w:r>
              <w:rPr/>
            </w:r>
          </w:p>
        </w:tc>
        <w:tc>
          <w:tcPr>
            <w:tcW w:w="1424" w:type="dxa"/>
            <w:tcBorders>
              <w:top w:val="single" w:sz="4" w:space="0" w:color="000000"/>
              <w:start w:val="single" w:sz="4" w:space="0" w:color="000000"/>
              <w:bottom w:val="single" w:sz="4" w:space="0" w:color="000000"/>
            </w:tcBorders>
          </w:tcPr>
          <w:p>
            <w:pPr>
              <w:pStyle w:val="TableContents"/>
              <w:rPr/>
            </w:pPr>
            <w:r>
              <w:rPr/>
              <w:t>4</w:t>
            </w:r>
          </w:p>
        </w:tc>
        <w:tc>
          <w:tcPr>
            <w:tcW w:w="1425" w:type="dxa"/>
            <w:tcBorders>
              <w:top w:val="single" w:sz="4" w:space="0" w:color="000000"/>
              <w:start w:val="single" w:sz="4" w:space="0" w:color="000000"/>
              <w:bottom w:val="single" w:sz="4" w:space="0" w:color="000000"/>
            </w:tcBorders>
          </w:tcPr>
          <w:p>
            <w:pPr>
              <w:pStyle w:val="TableContents"/>
              <w:rPr/>
            </w:pPr>
            <w:r>
              <w:rPr/>
              <w:t>4 Linking</w:t>
            </w:r>
          </w:p>
        </w:tc>
        <w:tc>
          <w:tcPr>
            <w:tcW w:w="1425" w:type="dxa"/>
            <w:tcBorders>
              <w:top w:val="single" w:sz="4" w:space="0" w:color="000000"/>
              <w:start w:val="single" w:sz="4" w:space="0" w:color="000000"/>
              <w:bottom w:val="single" w:sz="4" w:space="0" w:color="000000"/>
              <w:end w:val="single" w:sz="4" w:space="0" w:color="000000"/>
            </w:tcBorders>
          </w:tcPr>
          <w:p>
            <w:pPr>
              <w:pStyle w:val="TableContents"/>
              <w:rPr/>
            </w:pPr>
            <w:r>
              <w:rPr/>
            </w:r>
          </w:p>
        </w:tc>
      </w:tr>
      <w:tr>
        <w:trPr>
          <w:trHeight w:val="2484" w:hRule="atLeast"/>
        </w:trPr>
        <w:tc>
          <w:tcPr>
            <w:tcW w:w="1424" w:type="dxa"/>
            <w:tcBorders>
              <w:start w:val="single" w:sz="4" w:space="0" w:color="000000"/>
              <w:bottom w:val="single" w:sz="4" w:space="0" w:color="000000"/>
            </w:tcBorders>
          </w:tcPr>
          <w:p>
            <w:pPr>
              <w:pStyle w:val="TableContents"/>
              <w:rPr/>
            </w:pPr>
            <w:r>
              <w:rPr/>
              <w:t xml:space="preserve">Del2M1 </w:t>
            </w:r>
          </w:p>
        </w:tc>
        <w:tc>
          <w:tcPr>
            <w:tcW w:w="1425" w:type="dxa"/>
            <w:tcBorders>
              <w:start w:val="single" w:sz="4" w:space="0" w:color="000000"/>
              <w:bottom w:val="single" w:sz="4" w:space="0" w:color="000000"/>
            </w:tcBorders>
          </w:tcPr>
          <w:p>
            <w:pPr>
              <w:pStyle w:val="TableContents"/>
              <w:rPr/>
            </w:pPr>
            <w:r>
              <w:rPr/>
              <w:t>24%</w:t>
            </w:r>
          </w:p>
        </w:tc>
        <w:tc>
          <w:tcPr>
            <w:tcW w:w="1424" w:type="dxa"/>
            <w:tcBorders>
              <w:start w:val="single" w:sz="4" w:space="0" w:color="000000"/>
              <w:bottom w:val="single" w:sz="4" w:space="0" w:color="000000"/>
            </w:tcBorders>
          </w:tcPr>
          <w:p>
            <w:pPr>
              <w:pStyle w:val="TableContents"/>
              <w:rPr/>
            </w:pPr>
            <w:r>
              <w:rPr/>
              <w:t>AGA or ACA</w:t>
            </w:r>
          </w:p>
        </w:tc>
        <w:tc>
          <w:tcPr>
            <w:tcW w:w="1425" w:type="dxa"/>
            <w:tcBorders>
              <w:start w:val="single" w:sz="4" w:space="0" w:color="000000"/>
              <w:bottom w:val="single" w:sz="4" w:space="0" w:color="000000"/>
            </w:tcBorders>
          </w:tcPr>
          <w:p>
            <w:pPr>
              <w:pStyle w:val="TableContents"/>
              <w:rPr/>
            </w:pPr>
            <w:r>
              <w:rPr/>
              <w:t>111 + 106 or 58 + 50 out of</w:t>
            </w:r>
          </w:p>
          <w:p>
            <w:pPr>
              <w:pStyle w:val="TableContents"/>
              <w:rPr/>
            </w:pPr>
            <w:r>
              <w:rPr/>
              <w:t>339 Del2:M1</w:t>
            </w:r>
          </w:p>
          <w:p>
            <w:pPr>
              <w:pStyle w:val="TableContents"/>
              <w:rPr/>
            </w:pPr>
            <w:r>
              <w:rPr/>
            </w:r>
          </w:p>
          <w:p>
            <w:pPr>
              <w:pStyle w:val="TableContents"/>
              <w:rPr/>
            </w:pPr>
            <w:r>
              <w:rPr/>
            </w:r>
          </w:p>
          <w:p>
            <w:pPr>
              <w:pStyle w:val="TableContents"/>
              <w:rPr/>
            </w:pPr>
            <w:r>
              <w:rPr/>
              <w:t>948 dinucs del</w:t>
            </w:r>
          </w:p>
          <w:p>
            <w:pPr>
              <w:pStyle w:val="TableContents"/>
              <w:rPr/>
            </w:pPr>
            <w:r>
              <w:rPr/>
            </w:r>
          </w:p>
          <w:p>
            <w:pPr>
              <w:pStyle w:val="TableContents"/>
              <w:rPr/>
            </w:pPr>
            <w:r>
              <w:rPr/>
              <w:t>1272 indels &gt; 1 base</w:t>
            </w:r>
          </w:p>
        </w:tc>
        <w:tc>
          <w:tcPr>
            <w:tcW w:w="1424" w:type="dxa"/>
            <w:tcBorders>
              <w:start w:val="single" w:sz="4" w:space="0" w:color="000000"/>
              <w:bottom w:val="single" w:sz="4" w:space="0" w:color="000000"/>
            </w:tcBorders>
          </w:tcPr>
          <w:p>
            <w:pPr>
              <w:pStyle w:val="TableContents"/>
              <w:rPr/>
            </w:pPr>
            <w:r>
              <w:rPr/>
              <w:t>4.8%</w:t>
            </w:r>
          </w:p>
        </w:tc>
        <w:tc>
          <w:tcPr>
            <w:tcW w:w="1425" w:type="dxa"/>
            <w:tcBorders>
              <w:start w:val="single" w:sz="4" w:space="0" w:color="000000"/>
              <w:bottom w:val="single" w:sz="4" w:space="0" w:color="000000"/>
            </w:tcBorders>
          </w:tcPr>
          <w:p>
            <w:pPr>
              <w:pStyle w:val="TableContents"/>
              <w:rPr/>
            </w:pPr>
            <w:r>
              <w:rPr/>
              <w:t>AGA or ACA</w:t>
            </w:r>
          </w:p>
          <w:p>
            <w:pPr>
              <w:pStyle w:val="TableContents"/>
              <w:rPr/>
            </w:pPr>
            <w:r>
              <w:rPr/>
            </w:r>
          </w:p>
          <w:p>
            <w:pPr>
              <w:pStyle w:val="TableContents"/>
              <w:rPr/>
            </w:pPr>
            <w:r>
              <w:rPr/>
            </w:r>
          </w:p>
          <w:p>
            <w:pPr>
              <w:pStyle w:val="TableContents"/>
              <w:rPr/>
            </w:pPr>
            <w:r>
              <w:rPr/>
            </w:r>
          </w:p>
          <w:p>
            <w:pPr>
              <w:pStyle w:val="TableContents"/>
              <w:rPr/>
            </w:pPr>
            <w:r>
              <w:rPr/>
            </w:r>
          </w:p>
          <w:p>
            <w:pPr>
              <w:pStyle w:val="TableContents"/>
              <w:rPr/>
            </w:pPr>
            <w:r>
              <w:rPr/>
              <w:t>267 dinuc dels</w:t>
            </w:r>
          </w:p>
          <w:p>
            <w:pPr>
              <w:pStyle w:val="TableContents"/>
              <w:rPr/>
            </w:pPr>
            <w:r>
              <w:rPr/>
              <w:t xml:space="preserve">831 indels &gt; 1 base </w:t>
            </w:r>
          </w:p>
        </w:tc>
        <w:tc>
          <w:tcPr>
            <w:tcW w:w="1425" w:type="dxa"/>
            <w:tcBorders>
              <w:start w:val="single" w:sz="4" w:space="0" w:color="000000"/>
              <w:bottom w:val="single" w:sz="4" w:space="0" w:color="000000"/>
              <w:end w:val="single" w:sz="4" w:space="0" w:color="000000"/>
            </w:tcBorders>
          </w:tcPr>
          <w:p>
            <w:pPr>
              <w:pStyle w:val="TableContents"/>
              <w:rPr/>
            </w:pPr>
            <w:r>
              <w:rPr/>
              <w:t>6 + 2 or 4 + 1</w:t>
            </w:r>
          </w:p>
          <w:p>
            <w:pPr>
              <w:pStyle w:val="TableContents"/>
              <w:rPr/>
            </w:pPr>
            <w:r>
              <w:rPr/>
              <w:t>out of 38 Del2:M1</w:t>
            </w:r>
          </w:p>
          <w:p>
            <w:pPr>
              <w:pStyle w:val="TableContents"/>
              <w:rPr/>
            </w:pPr>
            <w:r>
              <w:rPr/>
            </w:r>
          </w:p>
          <w:p>
            <w:pPr>
              <w:pStyle w:val="TableContents"/>
              <w:rPr/>
            </w:pPr>
            <w:r>
              <w:rPr/>
            </w:r>
          </w:p>
        </w:tc>
      </w:tr>
      <w:tr>
        <w:trPr/>
        <w:tc>
          <w:tcPr>
            <w:tcW w:w="1424" w:type="dxa"/>
            <w:tcBorders>
              <w:start w:val="single" w:sz="4" w:space="0" w:color="000000"/>
              <w:bottom w:val="single" w:sz="4" w:space="0" w:color="000000"/>
            </w:tcBorders>
          </w:tcPr>
          <w:p>
            <w:pPr>
              <w:pStyle w:val="TableContents"/>
              <w:rPr/>
            </w:pPr>
            <w:r>
              <w:rPr/>
              <w:t>Del3:m2</w:t>
            </w:r>
          </w:p>
        </w:tc>
        <w:tc>
          <w:tcPr>
            <w:tcW w:w="1425" w:type="dxa"/>
            <w:tcBorders>
              <w:start w:val="single" w:sz="4" w:space="0" w:color="000000"/>
              <w:bottom w:val="single" w:sz="4" w:space="0" w:color="000000"/>
            </w:tcBorders>
          </w:tcPr>
          <w:p>
            <w:pPr>
              <w:pStyle w:val="TableContents"/>
              <w:rPr/>
            </w:pPr>
            <w:r>
              <w:rPr/>
              <w:t>1.32%</w:t>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t>4%</w:t>
            </w:r>
          </w:p>
        </w:tc>
        <w:tc>
          <w:tcPr>
            <w:tcW w:w="1425"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end w:val="single" w:sz="4" w:space="0" w:color="000000"/>
            </w:tcBorders>
          </w:tcPr>
          <w:p>
            <w:pPr>
              <w:pStyle w:val="TableContents"/>
              <w:rPr/>
            </w:pPr>
            <w:r>
              <w:rPr/>
            </w:r>
          </w:p>
        </w:tc>
      </w:tr>
      <w:tr>
        <w:trPr/>
        <w:tc>
          <w:tcPr>
            <w:tcW w:w="1424" w:type="dxa"/>
            <w:tcBorders>
              <w:start w:val="single" w:sz="4" w:space="0" w:color="000000"/>
              <w:bottom w:val="single" w:sz="4" w:space="0" w:color="000000"/>
            </w:tcBorders>
          </w:tcPr>
          <w:p>
            <w:pPr>
              <w:pStyle w:val="TableContents"/>
              <w:rPr/>
            </w:pPr>
            <w:r>
              <w:rPr/>
              <w:t>Del4:M2/3</w:t>
            </w:r>
          </w:p>
        </w:tc>
        <w:tc>
          <w:tcPr>
            <w:tcW w:w="1425" w:type="dxa"/>
            <w:tcBorders>
              <w:start w:val="single" w:sz="4" w:space="0" w:color="000000"/>
              <w:bottom w:val="single" w:sz="4" w:space="0" w:color="000000"/>
            </w:tcBorders>
          </w:tcPr>
          <w:p>
            <w:pPr>
              <w:pStyle w:val="TableContents"/>
              <w:rPr/>
            </w:pPr>
            <w:r>
              <w:rPr/>
              <w:t>0.86 + 1.32</w:t>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t>4.34+5.82%</w:t>
            </w:r>
          </w:p>
        </w:tc>
        <w:tc>
          <w:tcPr>
            <w:tcW w:w="1425"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end w:val="single" w:sz="4" w:space="0" w:color="000000"/>
            </w:tcBorders>
          </w:tcPr>
          <w:p>
            <w:pPr>
              <w:pStyle w:val="TableContents"/>
              <w:rPr/>
            </w:pPr>
            <w:r>
              <w:rPr/>
            </w:r>
          </w:p>
        </w:tc>
      </w:tr>
      <w:tr>
        <w:trPr/>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t>65% of dinucs involve “AG”</w:t>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t>35% of dinucs involve AG</w:t>
            </w:r>
          </w:p>
        </w:tc>
        <w:tc>
          <w:tcPr>
            <w:tcW w:w="1425" w:type="dxa"/>
            <w:tcBorders>
              <w:start w:val="single" w:sz="4" w:space="0" w:color="000000"/>
              <w:bottom w:val="single" w:sz="4" w:space="0" w:color="000000"/>
              <w:end w:val="single" w:sz="4" w:space="0" w:color="000000"/>
            </w:tcBorders>
          </w:tcPr>
          <w:p>
            <w:pPr>
              <w:pStyle w:val="TableContents"/>
              <w:rPr/>
            </w:pPr>
            <w:r>
              <w:rPr/>
            </w:r>
          </w:p>
        </w:tc>
      </w:tr>
      <w:tr>
        <w:trPr/>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end w:val="single" w:sz="4" w:space="0" w:color="000000"/>
            </w:tcBorders>
          </w:tcPr>
          <w:p>
            <w:pPr>
              <w:pStyle w:val="TableContents"/>
              <w:rPr/>
            </w:pPr>
            <w:r>
              <w:rPr/>
            </w:r>
          </w:p>
        </w:tc>
      </w:tr>
      <w:tr>
        <w:trPr/>
        <w:tc>
          <w:tcPr>
            <w:tcW w:w="1424" w:type="dxa"/>
            <w:tcBorders>
              <w:start w:val="single" w:sz="4" w:space="0" w:color="000000"/>
              <w:bottom w:val="single" w:sz="4" w:space="0" w:color="000000"/>
            </w:tcBorders>
          </w:tcPr>
          <w:p>
            <w:pPr>
              <w:pStyle w:val="TableContents"/>
              <w:rPr/>
            </w:pPr>
            <w:r>
              <w:rPr/>
              <w:t>Del2:U2:R2</w:t>
            </w:r>
          </w:p>
        </w:tc>
        <w:tc>
          <w:tcPr>
            <w:tcW w:w="1425" w:type="dxa"/>
            <w:tcBorders>
              <w:start w:val="single" w:sz="4" w:space="0" w:color="000000"/>
              <w:bottom w:val="single" w:sz="4" w:space="0" w:color="000000"/>
            </w:tcBorders>
          </w:tcPr>
          <w:p>
            <w:pPr>
              <w:pStyle w:val="TableContents"/>
              <w:rPr/>
            </w:pPr>
            <w:r>
              <w:rPr/>
              <w:t>23%</w:t>
            </w:r>
          </w:p>
        </w:tc>
        <w:tc>
          <w:tcPr>
            <w:tcW w:w="1424" w:type="dxa"/>
            <w:tcBorders>
              <w:start w:val="single" w:sz="4" w:space="0" w:color="000000"/>
              <w:bottom w:val="single" w:sz="4" w:space="0" w:color="000000"/>
            </w:tcBorders>
          </w:tcPr>
          <w:p>
            <w:pPr>
              <w:pStyle w:val="TableContents"/>
              <w:rPr/>
            </w:pPr>
            <w:r>
              <w:rPr/>
              <w:t>AGAG</w:t>
            </w:r>
          </w:p>
          <w:p>
            <w:pPr>
              <w:pStyle w:val="TableContents"/>
              <w:rPr/>
            </w:pPr>
            <w:r>
              <w:rPr/>
              <w:t>total 294 Del2:u2:r2</w:t>
            </w:r>
          </w:p>
        </w:tc>
        <w:tc>
          <w:tcPr>
            <w:tcW w:w="1425" w:type="dxa"/>
            <w:tcBorders>
              <w:start w:val="single" w:sz="4" w:space="0" w:color="000000"/>
              <w:bottom w:val="single" w:sz="4" w:space="0" w:color="000000"/>
            </w:tcBorders>
          </w:tcPr>
          <w:p>
            <w:pPr>
              <w:pStyle w:val="TableContents"/>
              <w:rPr/>
            </w:pPr>
            <w:r>
              <w:rPr/>
              <w:t>99+62</w:t>
            </w:r>
          </w:p>
        </w:tc>
        <w:tc>
          <w:tcPr>
            <w:tcW w:w="1424" w:type="dxa"/>
            <w:tcBorders>
              <w:start w:val="single" w:sz="4" w:space="0" w:color="000000"/>
              <w:bottom w:val="single" w:sz="4" w:space="0" w:color="000000"/>
            </w:tcBorders>
          </w:tcPr>
          <w:p>
            <w:pPr>
              <w:pStyle w:val="TableContents"/>
              <w:rPr/>
            </w:pPr>
            <w:r>
              <w:rPr/>
              <w:t>7%</w:t>
            </w:r>
          </w:p>
        </w:tc>
        <w:tc>
          <w:tcPr>
            <w:tcW w:w="1425"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end w:val="single" w:sz="4" w:space="0" w:color="000000"/>
            </w:tcBorders>
          </w:tcPr>
          <w:p>
            <w:pPr>
              <w:pStyle w:val="TableContents"/>
              <w:rPr/>
            </w:pPr>
            <w:r>
              <w:rPr/>
              <w:t>23+18 out of 77 Del2:U2:R2</w:t>
            </w:r>
          </w:p>
        </w:tc>
      </w:tr>
      <w:tr>
        <w:trPr/>
        <w:tc>
          <w:tcPr>
            <w:tcW w:w="1424" w:type="dxa"/>
            <w:tcBorders>
              <w:start w:val="single" w:sz="4" w:space="0" w:color="000000"/>
              <w:bottom w:val="single" w:sz="4" w:space="0" w:color="000000"/>
            </w:tcBorders>
          </w:tcPr>
          <w:p>
            <w:pPr>
              <w:pStyle w:val="TableContents"/>
              <w:rPr/>
            </w:pPr>
            <w:r>
              <w:rPr/>
              <w:t>Del3:U3:R2</w:t>
            </w:r>
          </w:p>
        </w:tc>
        <w:tc>
          <w:tcPr>
            <w:tcW w:w="1425" w:type="dxa"/>
            <w:tcBorders>
              <w:start w:val="single" w:sz="4" w:space="0" w:color="000000"/>
              <w:bottom w:val="single" w:sz="4" w:space="0" w:color="000000"/>
            </w:tcBorders>
          </w:tcPr>
          <w:p>
            <w:pPr>
              <w:pStyle w:val="TableContents"/>
              <w:rPr/>
            </w:pPr>
            <w:r>
              <w:rPr/>
              <w:t>1.47%</w:t>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t>9.27</w:t>
            </w:r>
          </w:p>
        </w:tc>
        <w:tc>
          <w:tcPr>
            <w:tcW w:w="1425"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end w:val="single" w:sz="4" w:space="0" w:color="000000"/>
            </w:tcBorders>
          </w:tcPr>
          <w:p>
            <w:pPr>
              <w:pStyle w:val="TableContents"/>
              <w:rPr/>
            </w:pPr>
            <w:r>
              <w:rPr/>
            </w:r>
          </w:p>
        </w:tc>
      </w:tr>
      <w:tr>
        <w:trPr/>
        <w:tc>
          <w:tcPr>
            <w:tcW w:w="1424" w:type="dxa"/>
            <w:tcBorders>
              <w:start w:val="single" w:sz="4" w:space="0" w:color="000000"/>
              <w:bottom w:val="single" w:sz="4" w:space="0" w:color="000000"/>
            </w:tcBorders>
          </w:tcPr>
          <w:p>
            <w:pPr>
              <w:pStyle w:val="TableContents"/>
              <w:rPr/>
            </w:pPr>
            <w:r>
              <w:rPr/>
              <w:t>Del3:U3:R3</w:t>
            </w:r>
          </w:p>
        </w:tc>
        <w:tc>
          <w:tcPr>
            <w:tcW w:w="1425" w:type="dxa"/>
            <w:tcBorders>
              <w:start w:val="single" w:sz="4" w:space="0" w:color="000000"/>
              <w:bottom w:val="single" w:sz="4" w:space="0" w:color="000000"/>
            </w:tcBorders>
          </w:tcPr>
          <w:p>
            <w:pPr>
              <w:pStyle w:val="TableContents"/>
              <w:rPr/>
            </w:pPr>
            <w:r>
              <w:rPr/>
              <w:t>0.21%</w:t>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t>2.8%</w:t>
            </w:r>
          </w:p>
        </w:tc>
        <w:tc>
          <w:tcPr>
            <w:tcW w:w="1425"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end w:val="single" w:sz="4" w:space="0" w:color="000000"/>
            </w:tcBorders>
          </w:tcPr>
          <w:p>
            <w:pPr>
              <w:pStyle w:val="TableContents"/>
              <w:rPr/>
            </w:pPr>
            <w:r>
              <w:rPr/>
            </w:r>
          </w:p>
        </w:tc>
      </w:tr>
      <w:tr>
        <w:trPr/>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end w:val="single" w:sz="4" w:space="0" w:color="000000"/>
            </w:tcBorders>
          </w:tcPr>
          <w:p>
            <w:pPr>
              <w:pStyle w:val="TableContents"/>
              <w:rPr/>
            </w:pPr>
            <w:r>
              <w:rPr/>
            </w:r>
          </w:p>
        </w:tc>
      </w:tr>
      <w:tr>
        <w:trPr/>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end w:val="single" w:sz="4" w:space="0" w:color="000000"/>
            </w:tcBorders>
          </w:tcPr>
          <w:p>
            <w:pPr>
              <w:pStyle w:val="TableContents"/>
              <w:rPr/>
            </w:pPr>
            <w:r>
              <w:rPr/>
            </w:r>
          </w:p>
        </w:tc>
      </w:tr>
      <w:tr>
        <w:trPr/>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end w:val="single" w:sz="4" w:space="0" w:color="000000"/>
            </w:tcBorders>
          </w:tcPr>
          <w:p>
            <w:pPr>
              <w:pStyle w:val="TableContents"/>
              <w:rPr/>
            </w:pPr>
            <w:r>
              <w:rPr/>
            </w:r>
          </w:p>
        </w:tc>
      </w:tr>
      <w:tr>
        <w:trPr/>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end w:val="single" w:sz="4" w:space="0" w:color="000000"/>
            </w:tcBorders>
          </w:tcPr>
          <w:p>
            <w:pPr>
              <w:pStyle w:val="TableContents"/>
              <w:rPr/>
            </w:pPr>
            <w:r>
              <w:rPr/>
            </w:r>
          </w:p>
        </w:tc>
      </w:tr>
      <w:tr>
        <w:trPr/>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4"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tcBorders>
          </w:tcPr>
          <w:p>
            <w:pPr>
              <w:pStyle w:val="TableContents"/>
              <w:rPr/>
            </w:pPr>
            <w:r>
              <w:rPr/>
            </w:r>
          </w:p>
        </w:tc>
        <w:tc>
          <w:tcPr>
            <w:tcW w:w="1425" w:type="dxa"/>
            <w:tcBorders>
              <w:start w:val="single" w:sz="4" w:space="0" w:color="000000"/>
              <w:bottom w:val="single" w:sz="4" w:space="0" w:color="000000"/>
              <w:end w:val="single" w:sz="4" w:space="0" w:color="000000"/>
            </w:tcBorders>
          </w:tcPr>
          <w:p>
            <w:pPr>
              <w:pStyle w:val="TableContents"/>
              <w:rPr/>
            </w:pPr>
            <w:r>
              <w:rPr/>
            </w:r>
          </w:p>
        </w:tc>
      </w:tr>
    </w:tbl>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t xml:space="preserve">The proportion of AGAG to AG in insdel4 linking tumor is 15%, similar to that in InsDelF.  </w:t>
      </w:r>
    </w:p>
    <w:p>
      <w:pPr>
        <w:pStyle w:val="Normal"/>
        <w:bidi w:val="0"/>
        <w:spacing w:lineRule="auto" w:line="480"/>
        <w:jc w:val="start"/>
        <w:rPr/>
      </w:pPr>
      <w:r>
        <w:rPr/>
        <w:t>InsDelF → deletions longer than 1 base are almost exclusively 2 base deletions, some from tandem seq, some w/ microhomology AG/CT and XXXX</w:t>
      </w:r>
    </w:p>
    <w:p>
      <w:pPr>
        <w:pStyle w:val="Normal"/>
        <w:bidi w:val="0"/>
        <w:spacing w:lineRule="auto" w:line="480"/>
        <w:jc w:val="start"/>
        <w:rPr/>
      </w:pPr>
      <w:r>
        <w:rPr/>
      </w:r>
    </w:p>
    <w:p>
      <w:pPr>
        <w:pStyle w:val="Normal"/>
        <w:bidi w:val="0"/>
        <w:spacing w:lineRule="auto" w:line="480"/>
        <w:jc w:val="start"/>
        <w:rPr/>
      </w:pPr>
      <w:r>
        <w:rPr/>
        <w:t>Same as experimental data</w:t>
      </w:r>
    </w:p>
    <w:p>
      <w:pPr>
        <w:pStyle w:val="Normal"/>
        <w:bidi w:val="0"/>
        <w:spacing w:lineRule="auto" w:line="480"/>
        <w:jc w:val="start"/>
        <w:rPr/>
      </w:pPr>
      <w:r>
        <w:rPr/>
      </w:r>
    </w:p>
    <w:p>
      <w:pPr>
        <w:pStyle w:val="Normal"/>
        <w:bidi w:val="0"/>
        <w:spacing w:lineRule="auto" w:line="480"/>
        <w:jc w:val="start"/>
        <w:rPr/>
      </w:pPr>
      <w:r>
        <w:rPr/>
        <w:t>InsDel4 → deletions of 2, 3, and 4 bases – mostly tandem repeats, not so many involving AG/CT</w:t>
      </w:r>
    </w:p>
    <w:p>
      <w:pPr>
        <w:pStyle w:val="Normal"/>
        <w:bidi w:val="0"/>
        <w:spacing w:lineRule="auto" w:line="480"/>
        <w:jc w:val="start"/>
        <w:rPr/>
      </w:pPr>
      <w:r>
        <w:rPr/>
        <w:t>microhom e.g. AAA → A/TTT→T</w:t>
      </w:r>
    </w:p>
    <w:p>
      <w:pPr>
        <w:pStyle w:val="Normal"/>
        <w:bidi w:val="0"/>
        <w:spacing w:lineRule="auto" w:line="480"/>
        <w:jc w:val="start"/>
        <w:rPr/>
      </w:pPr>
      <w:r>
        <w:rPr/>
        <w:t>TAT → T</w:t>
      </w:r>
    </w:p>
    <w:p>
      <w:pPr>
        <w:pStyle w:val="Normal"/>
        <w:bidi w:val="0"/>
        <w:spacing w:lineRule="auto" w:line="480"/>
        <w:jc w:val="start"/>
        <w:rPr/>
      </w:pPr>
      <w:r>
        <w:rPr/>
        <w:t>ATA → A</w:t>
      </w:r>
    </w:p>
    <w:p>
      <w:pPr>
        <w:pStyle w:val="Normal"/>
        <w:bidi w:val="0"/>
        <w:spacing w:lineRule="auto" w:line="480"/>
        <w:jc w:val="start"/>
        <w:rPr/>
      </w:pPr>
      <w:r>
        <w:rPr/>
        <w:t>AGGAG → AG</w:t>
      </w:r>
    </w:p>
    <w:p>
      <w:pPr>
        <w:pStyle w:val="Normal"/>
        <w:bidi w:val="0"/>
        <w:spacing w:lineRule="auto" w:line="480"/>
        <w:jc w:val="start"/>
        <w:rPr/>
      </w:pPr>
      <w:r>
        <w:rPr/>
        <w:t>AGAAG → AG</w:t>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t xml:space="preserve">Compared to C_ID4, 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rPr/>
        <w:t xml:space="preserve">, while InsDelx29/InsDel_F is dominated by the peak at </w:t>
      </w:r>
      <w:r>
        <w:rPr>
          <w:i/>
          <w:iCs/>
        </w:rPr>
        <w:t>L(2,8):U(1,2):R(2,4)</w:t>
      </w:r>
      <w:r>
        <w:rPr/>
        <w:t>.</w:t>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t>Because 89-type analysis is currently limited to human genomes (Koh et al., 2025), and due to the strong resemblance between InDel29 and InDel4a</w:t>
      </w:r>
      <w:r>
        <w:rPr>
          <w:rFonts w:hint="eastAsia"/>
        </w:rPr>
        <w:t>/4b</w:t>
      </w:r>
      <w:r>
        <w:rPr/>
        <w:t xml:space="preserve"> and their corresponding </w:t>
      </w:r>
      <w:r>
        <w:rPr>
          <w:rFonts w:hint="eastAsia"/>
        </w:rPr>
        <w:t>83-type</w:t>
      </w:r>
      <w:r>
        <w:rPr/>
        <w:t xml:space="preserve"> signatures, we focused </w:t>
      </w:r>
      <w:r>
        <w:rPr>
          <w:rFonts w:hint="eastAsia"/>
        </w:rPr>
        <w:t xml:space="preserve">most of </w:t>
      </w:r>
      <w:r>
        <w:rPr/>
        <w:t>our subsequent analyses specifically on ID_F.</w:t>
      </w:r>
    </w:p>
    <w:p>
      <w:pPr>
        <w:pStyle w:val="Normal"/>
        <w:bidi w:val="0"/>
        <w:spacing w:lineRule="auto" w:line="480"/>
        <w:jc w:val="start"/>
        <w:rPr>
          <w:rFonts w:hint="eastAsia"/>
        </w:rPr>
      </w:pPr>
      <w:r>
        <w:rPr>
          <w:rFonts w:hint="eastAsia"/>
        </w:rPr>
      </w:r>
    </w:p>
    <w:p>
      <w:pPr>
        <w:pStyle w:val="Normal"/>
        <w:bidi w:val="0"/>
        <w:spacing w:lineRule="auto" w:line="480"/>
        <w:jc w:val="start"/>
        <w:rPr/>
      </w:pPr>
      <w:r>
        <w:rPr/>
        <w:t>Upon re-examining the rnh201Δ</w:t>
      </w:r>
      <w:r>
        <w:rPr>
          <w:rFonts w:hint="eastAsia"/>
        </w:rPr>
        <w:t xml:space="preserve"> </w:t>
      </w:r>
      <w:r>
        <w:rPr>
          <w:i/>
          <w:iCs/>
        </w:rPr>
        <w:t>Saccharomyces cerevisiae</w:t>
      </w:r>
      <w:r>
        <w:rPr/>
        <w:t xml:space="preserve"> genomes, we observed 2 bp deletion patterns similar to those of ID_F, although deletions within microhomology were depleted (Williams et al. 2019; Conover et al. 2015</w:t>
      </w:r>
      <w:r>
        <w:rPr>
          <w:rFonts w:hint="eastAsia"/>
        </w:rPr>
        <w:t>, Figures S8</w:t>
      </w:r>
      <w:r>
        <w:rPr/>
        <w:t>).</w:t>
      </w:r>
      <w:r>
        <w:rPr>
          <w:rFonts w:hint="eastAsia"/>
        </w:rPr>
        <w:t xml:space="preserve"> </w:t>
      </w:r>
      <w:r>
        <w:rPr/>
        <w:t xml:space="preserve">The primary peak predominantly represents the deletion of CT from 5’-CTCT-3’ (or AG from 5’-AGAG-3’), as indicated by the extended sequence analysis of </w:t>
      </w:r>
      <w:r>
        <w:rPr>
          <w:strike/>
        </w:rPr>
        <w:t>RNASEH2B-KO cell lines and</w:t>
      </w:r>
      <w:r>
        <w:rPr/>
        <w:t xml:space="preserve"> </w:t>
      </w:r>
      <w:r>
        <w:rPr>
          <w:rFonts w:hint="eastAsia"/>
        </w:rPr>
        <w:t xml:space="preserve">the </w:t>
      </w:r>
      <w:r>
        <w:rPr/>
        <w:t xml:space="preserve">five </w:t>
      </w:r>
      <w:r>
        <w:rPr>
          <w:rFonts w:hint="eastAsia"/>
        </w:rPr>
        <w:t>genomes</w:t>
      </w:r>
      <w:r>
        <w:rPr/>
        <w:t xml:space="preserve"> exhibiting the highest ID_F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ID_F, while NTNT (deletion from repeats) and CTNT (deletion from microhomology) at deletion sites for C_ID4 (Figure 8C). T</w:t>
      </w:r>
      <w:r>
        <w:rPr/>
        <w:t xml:space="preserve">umors exhibiting high Hx_ID29/ID_F activity show deletion sequences that closely resemble those observed in </w:t>
      </w:r>
      <w:r>
        <w:rPr>
          <w:strike/>
        </w:rPr>
        <w:t xml:space="preserve">RNASEH2B null HEK293T cells, as well as in </w:t>
      </w:r>
      <w:r>
        <w:rPr/>
        <w:t>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bidi w:val="0"/>
        <w:spacing w:lineRule="auto" w:line="480"/>
        <w:jc w:val="start"/>
        <w:rPr/>
      </w:pPr>
      <w:r>
        <w:rPr/>
        <w:t xml:space="preserve">Collectively, </w:t>
      </w:r>
      <w:r>
        <w:rPr>
          <w:rFonts w:hint="eastAsia"/>
        </w:rPr>
        <w:t>our analysis</w:t>
      </w:r>
      <w:r>
        <w:rPr/>
        <w:t xml:space="preserve"> presents ID_F </w:t>
      </w:r>
      <w:r>
        <w:rPr>
          <w:rFonts w:hint="eastAsia"/>
        </w:rPr>
        <w:t xml:space="preserve">and InsDel_F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ID_F shows </w:t>
      </w:r>
      <w:r>
        <w:rPr/>
        <w:t>an</w:t>
      </w:r>
      <w:r>
        <w:rPr>
          <w:rFonts w:hint="eastAsia"/>
        </w:rPr>
        <w:t xml:space="preserve"> almost depletion of long deletions (deletion length≥3) at repeats and microhomologies (Figure S6A). ID_F contributes to more mutations </w:t>
      </w:r>
      <w:r>
        <w:rPr/>
        <w:t xml:space="preserve">in </w:t>
      </w:r>
      <w:r>
        <w:rPr>
          <w:rFonts w:hint="eastAsia"/>
        </w:rPr>
        <w:t>transcribed regions compared to untranscribed regions</w:t>
      </w:r>
      <w:r>
        <w:rPr>
          <w:rFonts w:hint="eastAsia"/>
          <w:strike/>
        </w:rPr>
        <w:t xml:space="preserve"> </w:t>
      </w:r>
      <w:r>
        <w:rPr>
          <w:rFonts w:hint="eastAsia"/>
        </w:rPr>
        <w:t>(Figure 8D)</w:t>
      </w:r>
      <w:r>
        <w:rPr>
          <w:rFonts w:hint="eastAsia"/>
          <w:strike/>
        </w:rPr>
        <w:t>.</w:t>
      </w:r>
      <w:r>
        <w:rPr>
          <w:rFonts w:hint="eastAsia"/>
        </w:rPr>
        <w:t xml:space="preserve"> The consistent observations </w:t>
      </w:r>
      <w:r>
        <w:rPr/>
        <w:t>suggest</w:t>
      </w:r>
      <w:r>
        <w:rPr>
          <w:rFonts w:hint="eastAsia"/>
        </w:rPr>
        <w:t xml:space="preserve"> ID_F is associated with a transcription associated mutational process. </w:t>
      </w:r>
      <w:r>
        <w:rPr/>
        <w:t>ID_F</w:t>
      </w:r>
      <w:r>
        <w:rPr>
          <w:rFonts w:hint="eastAsia"/>
        </w:rPr>
        <w:t xml:space="preserve"> and InsDel_F</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Heading2"/>
        <w:bidi w:val="0"/>
        <w:spacing w:lineRule="auto" w:line="48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Normal"/>
    <w:next w:val="Normal"/>
    <w:qFormat/>
    <w:pPr>
      <w:keepNext w:val="true"/>
      <w:keepLines/>
      <w:spacing w:before="40" w:after="0"/>
      <w:ind w:hanging="0"/>
      <w:outlineLvl w:val="1"/>
    </w:pPr>
    <w:rPr>
      <w:b/>
      <w:bCs/>
      <w:i/>
      <w:iCs/>
      <w:color w:themeColor="dark1" w:val="00000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1083</TotalTime>
  <Application>LibreOffice/25.8.4.2$Linux_X86_64 LibreOffice_project/580$Build-2</Application>
  <AppVersion>15.0000</AppVersion>
  <Pages>4</Pages>
  <Words>670</Words>
  <Characters>3620</Characters>
  <CharactersWithSpaces>4242</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2026-01-17T20:37:51Z</dcterms:created>
  <dc:creator/>
  <dc:description/>
  <dc:language>en-US</dc:language>
  <cp:lastModifiedBy/>
  <dcterms:modified xsi:type="dcterms:W3CDTF">2026-02-11T18:25:07Z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