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Liberation Serif" w:hint="eastAsia"/>
          <w:sz w:val="24"/>
          <w:szCs w:val="24"/>
          <w:shd w:fill="FFFF00" w:val="clear"/>
        </w:rPr>
        <w:t xml:space="preserve">&lt;because of the large numbers of mutations missed by the original classification, probably belongs here; need to document the large numbers&gt; </w:t>
      </w:r>
      <w:r>
        <w:rPr>
          <w:rFonts w:eastAsia="Liberation Serif" w:hint="eastAsia"/>
          <w:sz w:val="24"/>
          <w:szCs w:val="24"/>
        </w:rPr>
        <w:t xml:space="preserve">Notably, the code from &lt;Koh et al would have discarded xxxx of XXXX indels….because of the upper bound on the lengths of homopolymers in that classificaiton&gt; we modified one category from Koh et al.’s original classification, expanding the 1-base C deletion from </w:t>
      </w:r>
      <w:r>
        <w:rPr>
          <w:rFonts w:eastAsia="Liberation Serif" w:hint="eastAsia"/>
          <w:i/>
          <w:iCs/>
          <w:sz w:val="24"/>
          <w:szCs w:val="24"/>
        </w:rPr>
        <w:t>C(6,9)</w:t>
      </w:r>
      <w:r>
        <w:rPr>
          <w:rFonts w:eastAsia="Liberation Serif" w:hint="eastAsia"/>
          <w:sz w:val="24"/>
          <w:szCs w:val="24"/>
        </w:rPr>
        <w:t xml:space="preserve"> to </w:t>
      </w:r>
      <w:r>
        <w:rPr>
          <w:rFonts w:eastAsia="Liberation Serif" w:hint="eastAsia"/>
          <w:i/>
          <w:iCs/>
          <w:sz w:val="24"/>
          <w:szCs w:val="24"/>
        </w:rPr>
        <w:t>C(6,)</w:t>
      </w:r>
      <w:r>
        <w:rPr>
          <w:rFonts w:eastAsia="Liberation Serif" w:hint="eastAsia"/>
          <w:sz w:val="24"/>
          <w:szCs w:val="24"/>
        </w:rPr>
        <w:t xml:space="preserve">, </w:t>
      </w:r>
      <w:r>
        <w:rPr>
          <w:rFonts w:eastAsia="Liberation Serif" w:hint="eastAsia"/>
          <w:strike/>
          <w:sz w:val="24"/>
          <w:szCs w:val="24"/>
        </w:rPr>
        <w:t>&lt;delete:&gt; as we observed 1 bp C deletions from polyC tracts as long as 10–15 bp in 853 samples within our dataset.</w:t>
      </w:r>
      <w:r>
        <w:rPr>
          <w:rFonts w:eastAsia="Liberation Serif" w:hint="eastAsia"/>
          <w:sz w:val="24"/>
          <w:szCs w:val="24"/>
        </w:rPr>
        <w:t xml:space="preserve"> </w:t>
      </w:r>
    </w:p>
    <w:p>
      <w:pPr>
        <w:pStyle w:val="Normal"/>
        <w:rPr>
          <w:rFonts w:ascii="Liberation Serif" w:hAnsi="Liberation Serif" w:eastAsia="Liberation Serif" w:hint="eastAsia"/>
          <w:sz w:val="24"/>
          <w:szCs w:val="24"/>
        </w:rPr>
      </w:pPr>
      <w:r>
        <w:rPr>
          <w:rFonts w:eastAsia="Liberation Serif" w:hint="eastAsia"/>
          <w:sz w:val="24"/>
          <w:szCs w:val="24"/>
        </w:rPr>
      </w:r>
    </w:p>
    <w:p>
      <w:pPr>
        <w:pStyle w:val="Normal"/>
        <w:rPr/>
      </w:pPr>
      <w:r>
        <w:rPr/>
        <w:t>Our de novo signature discovery followed a three-step approach:</w:t>
      </w:r>
    </w:p>
    <w:p>
      <w:pPr>
        <w:pStyle w:val="ListParagraph"/>
        <w:numPr>
          <w:ilvl w:val="0"/>
          <w:numId w:val="1"/>
        </w:numPr>
        <w:ind w:firstLineChars="0" w:firstLine="420"/>
        <w:rPr/>
      </w:pPr>
      <w:r>
        <w:rPr/>
        <w:t>Extraction of ID signatures was performed in three ways for each of the classification schemes: (a) across all tumors combined, (b) across tumors with high tumor mutation burdens (TMB; see Methods for details), and (c) separately within each tumor type to detect tumor-specific rare signatures.</w:t>
      </w:r>
    </w:p>
    <w:p>
      <w:pPr>
        <w:pStyle w:val="ListParagraph"/>
        <w:numPr>
          <w:ilvl w:val="0"/>
          <w:numId w:val="1"/>
        </w:numPr>
        <w:ind w:firstLineChars="0" w:firstLine="420"/>
        <w:rPr/>
      </w:pPr>
      <w:r>
        <w:rPr/>
        <w:t>Highly similar signatures from all extractions were consolidated, and those reconstructible by other signatures were removed</w:t>
      </w:r>
      <w:r>
        <w:rPr>
          <w:rFonts w:hint="eastAsia"/>
        </w:rPr>
        <w:t xml:space="preserve"> (Methods)</w:t>
      </w:r>
      <w:r>
        <w:rPr/>
        <w:t>.</w:t>
      </w:r>
    </w:p>
    <w:p>
      <w:pPr>
        <w:pStyle w:val="ListParagraph"/>
        <w:numPr>
          <w:ilvl w:val="0"/>
          <w:numId w:val="1"/>
        </w:numPr>
        <w:ind w:firstLineChars="0" w:firstLine="420"/>
        <w:rPr/>
      </w:pPr>
      <w:r>
        <w:rPr/>
        <w:t xml:space="preserve">The resulting mSigHdp </w:t>
      </w:r>
      <w:r>
        <w:rPr>
          <w:rFonts w:hint="eastAsia"/>
        </w:rPr>
        <w:t xml:space="preserve">83-type </w:t>
      </w:r>
      <w:r>
        <w:rPr/>
        <w:t>signatures were compared to COSMIC v3.4 signatures and classified into three groups: (a) 18 signatures matching COSMIC v3.4 with cosine similarity &gt; 0.85 (designated "C_IDx," where x corresponds to the COSMIC ID; see Figure 2B and Figure S1), (b) signatures reconstructible as combinations of multiple COSMIC signatures (</w:t>
      </w:r>
      <w:r>
        <w:rPr>
          <w:rFonts w:hint="eastAsia"/>
        </w:rPr>
        <w:t>Methods</w:t>
      </w:r>
      <w:r>
        <w:rPr/>
        <w:t xml:space="preserve">), and (c) 15 novel signatures not fitting these categories, labeled "H_IDx" starting from ID24, as COSMIC v3.4 ends at ID23 &lt;It now goes to ID25&gt;  (Figure 2C). All novel signatures are supported by at least one sample, reinforcing their biological relevance </w:t>
      </w:r>
      <w:r>
        <w:rPr>
          <w:rFonts w:hint="eastAsia"/>
        </w:rPr>
        <w:t>(Vignettes</w:t>
      </w:r>
      <w:r>
        <w:rPr/>
        <w:t>)</w:t>
      </w:r>
      <w:r>
        <w:rPr>
          <w:rFonts w:hint="eastAsia"/>
        </w:rPr>
        <w:t xml:space="preserve">; </w:t>
      </w:r>
      <w:r>
        <w:rPr/>
        <w:t>89-type signatures were named according to their corresponding 83-type signatures (designated as InsDelx for matches to C_IDx or H_IDx</w:t>
      </w:r>
      <w:r>
        <w:rPr>
          <w:rFonts w:hint="eastAsia"/>
        </w:rPr>
        <w:t xml:space="preserve">, details in Methods, </w:t>
      </w:r>
      <w:r>
        <w:rPr>
          <w:rFonts w:hint="eastAsia"/>
          <w:shd w:fill="C0C0C0" w:val="clear"/>
        </w:rPr>
        <w:t>Vignettes</w:t>
      </w:r>
      <w:r>
        <w:rPr/>
        <w:t>). If multiple 89-type signatures mapped to a single 83-type signature, they were named InsDelx_a, InsDelx_b, and so forth.</w:t>
      </w:r>
      <w:r>
        <w:rPr>
          <w:rFonts w:hint="eastAsia"/>
        </w:rPr>
        <w:t xml:space="preserve"> </w:t>
      </w:r>
    </w:p>
    <w:p>
      <w:pPr>
        <w:pStyle w:val="Normal"/>
        <w:rPr/>
      </w:pPr>
      <w:r>
        <w:rPr/>
        <w:t>Our analysis primarily focuses on groups (a) and (c). Overall, we identified 33 distinct 83-type signatures and 41 89-type signatures (</w:t>
      </w:r>
      <w:r>
        <w:rPr>
          <w:rFonts w:hint="eastAsia"/>
        </w:rPr>
        <w:t>Figure</w:t>
      </w:r>
      <w:r>
        <w:rPr/>
        <w:t>s</w:t>
      </w:r>
      <w:r>
        <w:rPr>
          <w:rFonts w:hint="eastAsia"/>
        </w:rPr>
        <w:t xml:space="preserve"> 2</w:t>
      </w:r>
      <w:r>
        <w:rPr/>
        <w:t xml:space="preserve">, </w:t>
      </w:r>
      <w:r>
        <w:rPr>
          <w:rFonts w:hint="eastAsia"/>
        </w:rPr>
        <w:t>3</w:t>
      </w:r>
      <w:r>
        <w:rPr/>
        <w:t>).</w:t>
      </w:r>
    </w:p>
    <w:p>
      <w:pPr>
        <w:pStyle w:val="Heading2"/>
        <w:ind w:hanging="0" w:start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E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ind w:hanging="0"/>
      <w:outlineLvl w:val="1"/>
    </w:pPr>
    <w:rPr>
      <w:rFonts w:eastAsia="DejaVu Sans"/>
      <w:b/>
      <w:bCs/>
      <w:i/>
      <w:iCs/>
      <w:color w:themeColor="dark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first">
    <w:name w:val="normal_first"/>
    <w:basedOn w:val="Normal"/>
    <w:qFormat/>
    <w:pPr>
      <w:ind w:hanging="0"/>
    </w:pPr>
    <w:rPr/>
  </w:style>
  <w:style w:type="paragraph" w:styleId="ListParagraph">
    <w:name w:val="List Paragraph"/>
    <w:basedOn w:val="Normal"/>
    <w:qFormat/>
    <w:pPr>
      <w:ind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LibreOffice/25.8.3.2$Linux_X86_64 LibreOffice_project/580$Build-2</Application>
  <AppVersion>15.0000</AppVersion>
  <Pages>1</Pages>
  <Words>89</Words>
  <Characters>448</Characters>
  <CharactersWithSpaces>536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2023-04-27T19:59:21Z</dcterms:created>
  <dc:creator/>
  <dc:description/>
  <dc:language>en-US</dc:language>
  <cp:lastModifiedBy/>
  <dcterms:modified xsi:type="dcterms:W3CDTF">2025-12-26T12:19:26Z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