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A7DD9" w14:textId="77777777" w:rsidR="00452489" w:rsidRDefault="00000000">
      <w:pPr>
        <w:pStyle w:val="Title"/>
      </w:pPr>
      <w:r>
        <w:t>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229ADE87" w14:textId="77777777" w:rsidR="00452489" w:rsidRDefault="00000000">
      <w:pPr>
        <w:pStyle w:val="authorsandaff"/>
        <w:spacing w:after="240"/>
      </w:pPr>
      <w:r>
        <w:t>Mo Liu</w:t>
      </w:r>
      <w:r>
        <w:rPr>
          <w:rFonts w:hint="eastAsia"/>
        </w:rPr>
        <w:t>1,2,3*#</w:t>
      </w:r>
      <w:r>
        <w:t>,</w:t>
      </w:r>
      <w:r>
        <w:rPr>
          <w:rFonts w:hint="eastAsia"/>
        </w:rPr>
        <w:t xml:space="preserve"> Mi Ni Huang4*,</w:t>
      </w:r>
      <w:r>
        <w:t xml:space="preserve"> Xue Ming Wu1, Qi Zheng</w:t>
      </w:r>
      <w:r>
        <w:rPr>
          <w:rFonts w:hint="eastAsia"/>
        </w:rPr>
        <w:t>1</w:t>
      </w:r>
      <w:r>
        <w:t>,</w:t>
      </w:r>
      <w:r>
        <w:rPr>
          <w:rFonts w:hint="eastAsia"/>
        </w:rPr>
        <w:t xml:space="preserve"> Arnoud Boot2,3, Shenli Zhang2,3, Szu-Chi Ho2,3, </w:t>
      </w:r>
      <w:proofErr w:type="spellStart"/>
      <w:r>
        <w:t>Runtian</w:t>
      </w:r>
      <w:proofErr w:type="spellEnd"/>
      <w:r>
        <w:t xml:space="preserve"> Yao</w:t>
      </w:r>
      <w:r>
        <w:rPr>
          <w:rFonts w:hint="eastAsia"/>
        </w:rPr>
        <w:t>4</w:t>
      </w:r>
      <w:r>
        <w:t xml:space="preserve">, </w:t>
      </w:r>
      <w:r>
        <w:rPr>
          <w:rFonts w:hint="eastAsia"/>
        </w:rPr>
        <w:t xml:space="preserve">Ying Yang1, </w:t>
      </w:r>
      <w:proofErr w:type="spellStart"/>
      <w:r>
        <w:rPr>
          <w:rFonts w:hint="eastAsia"/>
        </w:rPr>
        <w:t>Runxi</w:t>
      </w:r>
      <w:proofErr w:type="spellEnd"/>
      <w:r>
        <w:rPr>
          <w:rFonts w:hint="eastAsia"/>
        </w:rPr>
        <w:t xml:space="preserve"> Shen5, </w:t>
      </w:r>
      <w:r>
        <w:t>Steven G. Rozen</w:t>
      </w:r>
      <w:r>
        <w:rPr>
          <w:rFonts w:hint="eastAsia"/>
        </w:rPr>
        <w:t>2,3,6,7#</w:t>
      </w:r>
    </w:p>
    <w:p w14:paraId="2A579BB7" w14:textId="77777777" w:rsidR="00452489" w:rsidRDefault="00000000">
      <w:pPr>
        <w:pStyle w:val="authorsandaff"/>
      </w:pPr>
      <w:r>
        <w:t>1 Sino-French Hoffmann Institute, School of Basic Medical Sciences, Guangzhou Medical University, Guangzhou, Guangdong 511436, China</w:t>
      </w:r>
    </w:p>
    <w:p w14:paraId="7DFD7792" w14:textId="77777777" w:rsidR="00452489" w:rsidRDefault="00000000">
      <w:pPr>
        <w:pStyle w:val="authorsandaff"/>
      </w:pPr>
      <w:r>
        <w:rPr>
          <w:rFonts w:hint="eastAsia"/>
        </w:rPr>
        <w:t>2</w:t>
      </w:r>
      <w:r>
        <w:t xml:space="preserve"> Centre for Computational Biology, Duke–NUS Medical School, 169857 Singapore</w:t>
      </w:r>
    </w:p>
    <w:p w14:paraId="7FE10FCD" w14:textId="77777777" w:rsidR="00452489" w:rsidRDefault="00000000">
      <w:pPr>
        <w:pStyle w:val="authorsandaff"/>
      </w:pPr>
      <w:r>
        <w:rPr>
          <w:rFonts w:hint="eastAsia"/>
        </w:rPr>
        <w:t>3</w:t>
      </w:r>
      <w:r>
        <w:t xml:space="preserve"> </w:t>
      </w:r>
      <w:proofErr w:type="spellStart"/>
      <w:r>
        <w:t>Programme</w:t>
      </w:r>
      <w:proofErr w:type="spellEnd"/>
      <w:r>
        <w:t xml:space="preserve"> in Cancer and Stem Cell Biology, Duke University–National University of Singapore Medical School (Duke–NUS Medical School), 169857 Singapore  </w:t>
      </w:r>
    </w:p>
    <w:p w14:paraId="78281DBC" w14:textId="77777777" w:rsidR="00452489" w:rsidRDefault="00000000">
      <w:pPr>
        <w:pStyle w:val="authorsandaff"/>
      </w:pPr>
      <w:r>
        <w:rPr>
          <w:rFonts w:hint="eastAsia"/>
        </w:rPr>
        <w:t xml:space="preserve">4 </w:t>
      </w:r>
      <w:r>
        <w:t>Molecular Cancer Research Center, School of Medicine, Shenzhen Campus of Sun Yat-</w:t>
      </w:r>
      <w:r>
        <w:rPr>
          <w:rFonts w:hint="eastAsia"/>
        </w:rPr>
        <w:t>S</w:t>
      </w:r>
      <w:r>
        <w:t>en University, Sun Yat-sen University, Shenzhen, 518107, China</w:t>
      </w:r>
    </w:p>
    <w:p w14:paraId="3609B5A6" w14:textId="77777777" w:rsidR="00452489" w:rsidRDefault="00000000">
      <w:pPr>
        <w:pStyle w:val="authorsandaff"/>
      </w:pPr>
      <w:r>
        <w:rPr>
          <w:rFonts w:hint="eastAsia"/>
        </w:rPr>
        <w:t xml:space="preserve">5 </w:t>
      </w:r>
      <w:r>
        <w:t>Imaging Platform, Broad Institute of Harvard and MIT, Cambridge, Massachusetts, United States</w:t>
      </w:r>
    </w:p>
    <w:p w14:paraId="2D8A80FD" w14:textId="77777777" w:rsidR="00452489" w:rsidRDefault="00000000">
      <w:pPr>
        <w:pStyle w:val="authorsandaff"/>
      </w:pPr>
      <w:r>
        <w:rPr>
          <w:rFonts w:hint="eastAsia"/>
        </w:rPr>
        <w:t>6</w:t>
      </w:r>
      <w:r>
        <w:t xml:space="preserve"> Department of Biostatistics and Bioinformatics, Duke University School of Medicine, Durham, North Carolina, 27710, United States</w:t>
      </w:r>
    </w:p>
    <w:p w14:paraId="35834207" w14:textId="77777777" w:rsidR="00452489" w:rsidRDefault="00000000">
      <w:pPr>
        <w:pStyle w:val="authorsandaff"/>
      </w:pPr>
      <w:r>
        <w:t xml:space="preserve">7 Graduate Institute of Biomedical Sciences, Chang Gung University, Taoyuan City, 33302, Taiwan  </w:t>
      </w:r>
    </w:p>
    <w:p w14:paraId="0788D166" w14:textId="77777777" w:rsidR="00452489" w:rsidRDefault="00000000">
      <w:pPr>
        <w:pStyle w:val="authorsandaff"/>
      </w:pPr>
      <w:r>
        <w:t xml:space="preserve"># Corresponding authors: E-mails: </w:t>
      </w:r>
      <w:hyperlink r:id="rId6">
        <w:r w:rsidR="00452489">
          <w:rPr>
            <w:rFonts w:hint="eastAsia"/>
          </w:rPr>
          <w:t>mo.liu@gzhmu.edu.cn</w:t>
        </w:r>
      </w:hyperlink>
      <w:r>
        <w:rPr>
          <w:rFonts w:hint="eastAsia"/>
        </w:rPr>
        <w:t>, steverozen@pm.me</w:t>
      </w:r>
    </w:p>
    <w:p w14:paraId="26D5FB24" w14:textId="77777777" w:rsidR="00452489" w:rsidRDefault="00000000">
      <w:r>
        <w:br w:type="page"/>
      </w:r>
    </w:p>
    <w:p w14:paraId="7A1059AF" w14:textId="77777777" w:rsidR="00452489" w:rsidRDefault="00000000">
      <w:pPr>
        <w:pStyle w:val="Heading1"/>
        <w:spacing w:before="0"/>
      </w:pPr>
      <w:r>
        <w:rPr>
          <w:rFonts w:hint="eastAsia"/>
        </w:rPr>
        <w:lastRenderedPageBreak/>
        <w:t>Abstract</w:t>
      </w:r>
    </w:p>
    <w:p w14:paraId="604D84F6" w14:textId="77777777" w:rsidR="00452489" w:rsidRDefault="00000000">
      <w:pPr>
        <w:pStyle w:val="normalfirst"/>
      </w:pPr>
      <w:r>
        <w:t>Mutational signatures can be viewed as latent factors that explain observed mutational spectra and that ideally correspond to specific mutagenic mechanisms. The mutational signatures of small insertions and deletions (“indels”) have been under-studied, but Koh, Nanda, and colleagues recently published a new classification that recognizes 89 types of indel and that often enables finer distinctions between signatures than the more widely used classification into 83 types of indel.  Here, we analyzed somatic indels in 6,975 whole genomes from 32 cancer types to create comprehensive collections of signatures in both classification schemes. We extracted signatures using methods based on hierarchical Dirichlet processes and on non-negative matrix factorization with consistent results across the two methods. We identified a comprehensive set of 45 &lt;47? now&gt; mutational signatures in the new 89-type classification, including 28 &lt;Now 30?&gt; previously unreported signatures. Algorithmic translation between signatures in the 83-type and 89-type classification schemes is impossible. However, we leveraged tumor mutational spectra dominated by individual signatures to exhaustively elucidate the correspondences between signatures in the 89-type and 83-types classification schemes and an additional classification scheme that recognizes 467 types of indel.  W</w:t>
      </w:r>
      <w:r>
        <w:rPr>
          <w:rFonts w:hint="eastAsia"/>
        </w:rPr>
        <w:t xml:space="preserve">e also used </w:t>
      </w:r>
      <w:r>
        <w:t>cell-line experiments to</w:t>
      </w:r>
      <w:r>
        <w:rPr>
          <w:rFonts w:hint="eastAsia"/>
        </w:rPr>
        <w:t xml:space="preserve"> show that </w:t>
      </w:r>
      <w:r>
        <w:t>one</w:t>
      </w:r>
      <w:r>
        <w:rPr>
          <w:rFonts w:hint="eastAsia"/>
        </w:rPr>
        <w:t xml:space="preserve"> </w:t>
      </w:r>
      <w:r>
        <w:t>novel signature</w:t>
      </w:r>
      <w:r>
        <w:rPr>
          <w:rFonts w:hint="eastAsia"/>
        </w:rPr>
        <w:t xml:space="preserve"> </w:t>
      </w:r>
      <w:r>
        <w:t xml:space="preserve">is caused by transcription-associated mutagenesis by topoisomerase 1 at sites of genomically incorporated ribonucleotides. We provide a web site for exploring these signatures, the relationships between signatures in the three </w:t>
      </w:r>
      <w:proofErr w:type="gramStart"/>
      <w:r>
        <w:t>classifications,  signatures</w:t>
      </w:r>
      <w:proofErr w:type="gramEnd"/>
      <w:r>
        <w:t xml:space="preserve">’ presence in tumors, and signatures’ relationships to genomic topography. </w:t>
      </w:r>
    </w:p>
    <w:p w14:paraId="18F2AAE9" w14:textId="77777777" w:rsidR="00452489" w:rsidRDefault="00000000">
      <w:pPr>
        <w:pStyle w:val="normalfirst"/>
      </w:pPr>
      <w:r>
        <w:t>(Currently 235 words)</w:t>
      </w:r>
    </w:p>
    <w:p w14:paraId="30936272" w14:textId="77777777" w:rsidR="00452489" w:rsidRDefault="00452489">
      <w:pPr>
        <w:pStyle w:val="normalfirst"/>
      </w:pPr>
    </w:p>
    <w:p w14:paraId="213472ED" w14:textId="77777777" w:rsidR="00452489" w:rsidRDefault="00452489">
      <w:pPr>
        <w:pStyle w:val="normalfirst"/>
      </w:pPr>
    </w:p>
    <w:p w14:paraId="7429BAD2" w14:textId="77777777" w:rsidR="00452489" w:rsidRDefault="00452489">
      <w:pPr>
        <w:pStyle w:val="normalfirst"/>
      </w:pPr>
    </w:p>
    <w:p w14:paraId="7FF10A7D" w14:textId="77777777" w:rsidR="00452489" w:rsidRDefault="00000000">
      <w:r>
        <w:t xml:space="preserve">NOTES: abstract word </w:t>
      </w:r>
      <w:proofErr w:type="gramStart"/>
      <w:r>
        <w:t>limits:,</w:t>
      </w:r>
      <w:proofErr w:type="gramEnd"/>
      <w:r>
        <w:t xml:space="preserve"> </w:t>
      </w:r>
      <w:proofErr w:type="spellStart"/>
      <w:r>
        <w:t>nat</w:t>
      </w:r>
      <w:proofErr w:type="spellEnd"/>
      <w:r>
        <w:t xml:space="preserve"> genet </w:t>
      </w:r>
      <w:proofErr w:type="spellStart"/>
      <w:r>
        <w:t>abst</w:t>
      </w:r>
      <w:proofErr w:type="spellEnd"/>
      <w:r>
        <w:t xml:space="preserve"> limit 150, 4000 words 8 display items</w:t>
      </w:r>
    </w:p>
    <w:p w14:paraId="5D2C5585" w14:textId="77777777" w:rsidR="00452489" w:rsidRDefault="00000000">
      <w:r>
        <w:t>cancer research, 250 words; cancer discovery 150 words; cell genomics, 150 words</w:t>
      </w:r>
    </w:p>
    <w:p w14:paraId="08D9AFC1" w14:textId="77777777" w:rsidR="00452489" w:rsidRDefault="00000000">
      <w:r>
        <w:t>genome research 250 words</w:t>
      </w:r>
    </w:p>
    <w:p w14:paraId="223829D3" w14:textId="77777777" w:rsidR="00452489" w:rsidRDefault="00000000">
      <w:pPr>
        <w:pStyle w:val="normalfirst"/>
        <w:rPr>
          <w:shd w:val="clear" w:color="auto" w:fill="FFFF00"/>
        </w:rPr>
      </w:pPr>
      <w:r>
        <w:rPr>
          <w:shd w:val="clear" w:color="auto" w:fill="FFFF00"/>
        </w:rPr>
        <w:t>Elife? Cell / cell genomics resource?</w:t>
      </w:r>
    </w:p>
    <w:p w14:paraId="5FA94BA8" w14:textId="77777777" w:rsidR="00452489" w:rsidRDefault="00452489">
      <w:pPr>
        <w:pStyle w:val="normalfirst"/>
        <w:rPr>
          <w:shd w:val="clear" w:color="auto" w:fill="FFFF00"/>
        </w:rPr>
      </w:pPr>
    </w:p>
    <w:p w14:paraId="7CC85B39" w14:textId="77777777" w:rsidR="00452489" w:rsidRDefault="00000000">
      <w:pPr>
        <w:pStyle w:val="normalfirst"/>
        <w:rPr>
          <w:shd w:val="clear" w:color="auto" w:fill="FFFF00"/>
        </w:rPr>
      </w:pPr>
      <w:r>
        <w:rPr>
          <w:shd w:val="clear" w:color="auto" w:fill="FFFF00"/>
        </w:rPr>
        <w:t>https://share.google/aimode/QKRo26NUhoR9S8WBd</w:t>
      </w:r>
    </w:p>
    <w:p w14:paraId="2D6088D4" w14:textId="77777777" w:rsidR="00452489" w:rsidRDefault="00452489">
      <w:pPr>
        <w:ind w:firstLine="0"/>
      </w:pPr>
    </w:p>
    <w:p w14:paraId="6B6DEEE0" w14:textId="77777777" w:rsidR="00452489" w:rsidRDefault="00000000">
      <w:r>
        <w:t xml:space="preserve">NOTE: Koh et al. Extracted from tumor types: bladder (n = 347), brain (CNS, n = 392), colorectal (n = 2,146), endometrial (n = 695), lung (n = 958), stomach (n = 181) and skin (n = 56) cancers from the GEL 100,000 Genomes Project35 Strelka (page 1136, top right column)  </w:t>
      </w:r>
      <w:hyperlink r:id="rId7">
        <w:r w:rsidR="00452489">
          <w:rPr>
            <w:rStyle w:val="Hyperlink"/>
          </w:rPr>
          <w:t>https://signal.mutationalsignatures.com/explore/main/cancer/signatures?mutationType=3&amp;study=7</w:t>
        </w:r>
      </w:hyperlink>
    </w:p>
    <w:p w14:paraId="7371FA9D" w14:textId="77777777" w:rsidR="00452489" w:rsidRDefault="00000000">
      <w:r>
        <w:t>We extracted from 32 types &gt; 4 times as many (</w:t>
      </w:r>
      <w:proofErr w:type="spellStart"/>
      <w:r>
        <w:t>koh</w:t>
      </w:r>
      <w:proofErr w:type="spellEnd"/>
      <w:r>
        <w:t xml:space="preserve"> extracted from 7)</w:t>
      </w:r>
    </w:p>
    <w:p w14:paraId="76A840F5" w14:textId="77777777" w:rsidR="00452489" w:rsidRDefault="00452489"/>
    <w:p w14:paraId="2FD0F4CF" w14:textId="77777777" w:rsidR="00452489" w:rsidRDefault="00452489"/>
    <w:p w14:paraId="7E4C8223" w14:textId="77777777" w:rsidR="00452489" w:rsidRDefault="00452489"/>
    <w:p w14:paraId="582969DB" w14:textId="77777777" w:rsidR="00452489" w:rsidRDefault="00452489"/>
    <w:p w14:paraId="47CEDB30" w14:textId="77777777" w:rsidR="00452489" w:rsidRDefault="00452489"/>
    <w:p w14:paraId="65BB981A" w14:textId="77777777" w:rsidR="00452489" w:rsidRDefault="00452489"/>
    <w:p w14:paraId="68C70B37" w14:textId="77777777" w:rsidR="00452489" w:rsidRDefault="00000000">
      <w:r>
        <w:br w:type="page"/>
      </w:r>
    </w:p>
    <w:p w14:paraId="37061ACB" w14:textId="77777777" w:rsidR="00452489" w:rsidRDefault="00000000">
      <w:pPr>
        <w:pStyle w:val="Heading1"/>
        <w:spacing w:before="0"/>
      </w:pPr>
      <w:r>
        <w:lastRenderedPageBreak/>
        <w:t>Introduction</w:t>
      </w:r>
    </w:p>
    <w:p w14:paraId="003EA11C" w14:textId="77777777" w:rsidR="00452489"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rStyle w:val="normalfirstChar"/>
          <w:rFonts w:hint="eastAsia"/>
        </w:rPr>
        <w:instrText>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Style w:val="normalfirstChar"/>
          <w:rFonts w:hint="eastAsia"/>
        </w:rPr>
        <w:fldChar w:fldCharType="separate"/>
      </w:r>
      <w:r>
        <w:t>(Alexandrov et al. 2014)</w:t>
      </w:r>
      <w:r>
        <w:rPr>
          <w:rStyle w:val="normalfirstChar"/>
          <w:rFonts w:hint="eastAsia"/>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r>
        <w:fldChar w:fldCharType="begin"/>
      </w:r>
      <w:r>
        <w:instrText>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fldChar w:fldCharType="separate"/>
      </w:r>
      <w:r>
        <w:t>(Alexandrov et al. 2016; Ng et al. 2017; Dziubańska-Kusibab et al. 2020; Boot et al. 2020)</w:t>
      </w:r>
      <w:r>
        <w:fldChar w:fldCharType="end"/>
      </w:r>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7DB76DF5" w14:textId="77777777" w:rsidR="00452489"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r>
        <w:fldChar w:fldCharType="begin"/>
      </w:r>
      <w:r>
        <w:instrText>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fldChar w:fldCharType="separate"/>
      </w:r>
      <w:r>
        <w:t>(Boot et al. 2018; Huang et al. 2017; Kucab et al. 2019; Caipa Garcia et al. 2024; Riva et al. 2020)</w:t>
      </w:r>
      <w:r>
        <w:fldChar w:fldCharType="end"/>
      </w:r>
      <w:r>
        <w:t>. In addition, machine learning can identify mutational signatures as latent factors that explain the patterns of mutations in large collections of somatic mutation dat</w:t>
      </w:r>
      <w:r>
        <w:rPr>
          <w:rFonts w:hint="eastAsia"/>
        </w:rPr>
        <w:t xml:space="preserve">a </w:t>
      </w:r>
      <w:r>
        <w:rPr>
          <w:rFonts w:hint="eastAsia"/>
        </w:rPr>
        <w:fldChar w:fldCharType="begin"/>
      </w:r>
      <w:r>
        <w:rPr>
          <w:rFonts w:hint="eastAsia"/>
        </w:rPr>
        <w:instrText>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w:instrText>
      </w:r>
      <w:r>
        <w:rPr>
          <w:rFonts w:hint="eastAsia"/>
        </w:rPr>
        <w:instrText>–</w:instrText>
      </w:r>
      <w:r>
        <w:rPr>
          <w:rFonts w:hint="eastAsia"/>
        </w:rPr>
        <w:instrText>15, enabled the discovery of new signatures, the separation of overlapping signatures and the decomposition of signatures into components that may represent associated</w:instrText>
      </w:r>
      <w:r>
        <w:rPr>
          <w:rFonts w:hint="eastAsia"/>
        </w:rPr>
        <w:instrText>—</w:instrText>
      </w:r>
      <w:r>
        <w:rPr>
          <w:rFonts w:hint="eastAsia"/>
        </w:rPr>
        <w:instrText>but distinct</w:instrText>
      </w:r>
      <w:r>
        <w:rPr>
          <w:rFonts w:hint="eastAsia"/>
        </w:rPr>
        <w:instrText>—</w:instrText>
      </w:r>
      <w:r>
        <w:rPr>
          <w:rFonts w:hint="eastAsia"/>
        </w:rPr>
        <w:instrTex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w:instrText>
      </w:r>
      <w:r>
        <w:rPr>
          <w:rFonts w:hint="eastAsia"/>
        </w:rPr>
        <w:instrText>á</w:instrText>
      </w:r>
      <w:r>
        <w:rPr>
          <w:rFonts w:hint="eastAsia"/>
        </w:rPr>
        <w:instrText>zquez-Garc</w:instrText>
      </w:r>
      <w:r>
        <w:rPr>
          <w:rFonts w:hint="eastAsia"/>
        </w:rPr>
        <w:instrText>í</w:instrText>
      </w:r>
      <w:r>
        <w:rPr>
          <w:rFonts w:hint="eastAsia"/>
        </w:rPr>
        <w:instrText>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w:instrText>
      </w:r>
      <w:r>
        <w:rPr>
          <w:rFonts w:hint="eastAsia"/>
        </w:rPr>
        <w:instrText>’</w:instrText>
      </w:r>
      <w:r>
        <w:rPr>
          <w:rFonts w:hint="eastAsia"/>
        </w:rPr>
        <w:instrText>s cancer. We performed mutational signature analyses on 12,222 whole-genome</w:instrText>
      </w:r>
      <w:r>
        <w:rPr>
          <w:rFonts w:hint="eastAsia"/>
        </w:rPr>
        <w:instrText>–</w:instrText>
      </w:r>
      <w:r>
        <w:rPr>
          <w:rFonts w:hint="eastAsia"/>
        </w:rPr>
        <w:instrText>sequenced tumor-normal matched pairs from patients recruited via the UK National Health Service (NHS). We contrasted our results with two independent cancer WGS datasets</w:instrText>
      </w:r>
      <w:r>
        <w:rPr>
          <w:rFonts w:hint="eastAsia"/>
        </w:rPr>
        <w:instrText>—</w:instrText>
      </w:r>
      <w:r>
        <w:rPr>
          <w:rFonts w:hint="eastAsia"/>
        </w:rPr>
        <w:instrText>from the International Cancer Genome Consortium (ICGC) and the Hartwig Medical Foundation (HMF)</w:instrText>
      </w:r>
      <w:r>
        <w:rPr>
          <w:rFonts w:hint="eastAsia"/>
        </w:rPr>
        <w:instrText>—</w:instrText>
      </w:r>
      <w:r>
        <w:rPr>
          <w:rFonts w:hint="eastAsia"/>
        </w:rPr>
        <w:instrText>involving 18,640 whole-genome</w:instrText>
      </w:r>
      <w:r>
        <w:rPr>
          <w:rFonts w:hint="eastAsia"/>
        </w:rPr>
        <w:instrText>–</w:instrText>
      </w:r>
      <w:r>
        <w:rPr>
          <w:rFonts w:hint="eastAsia"/>
        </w:rPr>
        <w:instrText>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w:instrText>
      </w:r>
      <w:r>
        <w:rPr>
          <w:rFonts w:hint="eastAsia"/>
        </w:rPr>
        <w:instrText>–</w:instrText>
      </w:r>
      <w:r>
        <w:rPr>
          <w:rFonts w:hint="eastAsia"/>
        </w:rPr>
        <w:instrText>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w:instrText>
      </w:r>
      <w:r>
        <w:rPr>
          <w:rFonts w:hint="eastAsia"/>
        </w:rPr>
        <w:instrText>–</w:instrText>
      </w:r>
      <w:r>
        <w:rPr>
          <w:rFonts w:hint="eastAsia"/>
        </w:rPr>
        <w:instrText>3. However, whole-genome analysis of hepatitis B virus (HBV)-associated HCC in Chinese individuals is limited4</w:instrText>
      </w:r>
      <w:r>
        <w:rPr>
          <w:rFonts w:hint="eastAsia"/>
        </w:rPr>
        <w:instrText>–</w:instrText>
      </w:r>
      <w:r>
        <w:rPr>
          <w:rFonts w:hint="eastAsia"/>
        </w:rPr>
        <w:instrText>8, with current analyses of HCC mainly from non-HBV-enriched populations9,10. Here we initiated the Chinese Liver Cancer Atlas (CLCA) project and performed deep whole-genome sequencing (average depth, 120</w:instrText>
      </w:r>
      <w:r>
        <w:rPr>
          <w:rFonts w:hint="eastAsia"/>
        </w:rPr>
        <w:instrText>×</w:instrText>
      </w:r>
      <w:r>
        <w:rPr>
          <w:rFonts w:hint="eastAsia"/>
        </w:rPr>
        <w:instrText xml:space="preserve">)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w:instrText>
      </w:r>
      <w:r>
        <w:rPr>
          <w:rFonts w:hint="eastAsia"/>
        </w:rPr>
        <w:instrText>‘</w:instrText>
      </w:r>
      <w:r>
        <w:rPr>
          <w:rFonts w:hint="eastAsia"/>
        </w:rPr>
        <w:instrText>flat</w:instrText>
      </w:r>
      <w:r>
        <w:rPr>
          <w:rFonts w:hint="eastAsia"/>
        </w:rPr>
        <w:instrText>’</w:instrText>
      </w:r>
      <w:r>
        <w:rPr>
          <w:rFonts w:hint="eastAsia"/>
        </w:rPr>
        <w:instrText xml:space="preserve">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w:instrText>
      </w:r>
      <w:r>
        <w:rPr>
          <w:rFonts w:hint="eastAsia"/>
        </w:rPr>
        <w:instrText>ε</w:instrText>
      </w:r>
      <w:r>
        <w:rPr>
          <w:rFonts w:hint="eastAsia"/>
        </w:rPr>
        <w:instrText xml:space="preserve"> and Pol </w:instrText>
      </w:r>
      <w:r>
        <w:rPr>
          <w:rFonts w:hint="eastAsia"/>
        </w:rPr>
        <w:instrText>δ</w:instrText>
      </w:r>
      <w:r>
        <w:rPr>
          <w:rFonts w:hint="eastAsia"/>
        </w:rPr>
        <w:instrText>).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w:instrText>
      </w:r>
      <w:r>
        <w:rPr>
          <w:rFonts w:hint="eastAsia"/>
        </w:rPr>
        <w:instrText>—</w:instrText>
      </w:r>
      <w:r>
        <w:rPr>
          <w:rFonts w:hint="eastAsia"/>
        </w:rPr>
        <w:instrTex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Fonts w:hint="eastAsia"/>
        </w:rPr>
        <w:fldChar w:fldCharType="separate"/>
      </w:r>
      <w:r>
        <w:t>(Alexandrov et al. 2020; 2014; Nik-Zainal et al. 2012; Degasperi et al. 2022; Chen et al. 2024; Jin et al. 2024; Koh et al. 2025)</w:t>
      </w:r>
      <w:r>
        <w:rPr>
          <w:rFonts w:hint="eastAsia"/>
        </w:rPr>
        <w:fldChar w:fldCharType="end"/>
      </w:r>
      <w:r>
        <w:t>. For example, data mining of upper tract urothelial cancers (UTUC) from Taiwan initially identified the aristolochic acid (AA) single-base substitution (SBS) signature</w:t>
      </w:r>
      <w:r>
        <w:rPr>
          <w:rFonts w:hint="eastAsia"/>
        </w:rPr>
        <w:t xml:space="preserve"> </w:t>
      </w:r>
      <w:r>
        <w:rPr>
          <w:rFonts w:hint="eastAsia"/>
        </w:rPr>
        <w:fldChar w:fldCharType="begin"/>
      </w:r>
      <w:r>
        <w:rPr>
          <w:rFonts w:hint="eastAsia"/>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w:instrText>
      </w:r>
      <w:r>
        <w:rPr>
          <w:rFonts w:hint="eastAsia"/>
        </w:rPr>
        <w:instrText>“</w:instrText>
      </w:r>
      <w:r>
        <w:rPr>
          <w:rFonts w:hint="eastAsia"/>
        </w:rPr>
        <w:instrText>molecular signature</w:instrText>
      </w:r>
      <w:r>
        <w:rPr>
          <w:rFonts w:hint="eastAsia"/>
        </w:rPr>
        <w:instrText>”</w:instrText>
      </w:r>
      <w:r>
        <w:rPr>
          <w:rFonts w:hint="eastAsia"/>
        </w:rPr>
        <w:instrText xml:space="preserv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w:instrText>
      </w:r>
      <w:r>
        <w:rPr>
          <w:rFonts w:hint="eastAsia"/>
        </w:rPr>
        <w:instrText>’</w:instrText>
      </w:r>
      <w:r>
        <w:rPr>
          <w:rFonts w:hint="eastAsia"/>
        </w:rPr>
        <w:instrText xml:space="preserve">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w:instrText>
      </w:r>
      <w:r>
        <w:rPr>
          <w:rFonts w:hint="eastAsia"/>
        </w:rPr>
        <w:instrText>“</w:instrText>
      </w:r>
      <w:r>
        <w:rPr>
          <w:rFonts w:hint="eastAsia"/>
        </w:rPr>
        <w:instrText>molecular signature</w:instrText>
      </w:r>
      <w:r>
        <w:rPr>
          <w:rFonts w:hint="eastAsia"/>
        </w:rPr>
        <w:instrText>”</w:instrText>
      </w:r>
      <w:r>
        <w:rPr>
          <w:rFonts w:hint="eastAsia"/>
        </w:rPr>
        <w:instrText xml:space="preserv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w:instrText>
      </w:r>
      <w:r>
        <w:rPr>
          <w:rFonts w:hint="eastAsia"/>
        </w:rPr>
        <w:instrText>–</w:instrText>
      </w:r>
      <w:r>
        <w:rPr>
          <w:rFonts w:hint="eastAsia"/>
        </w:rPr>
        <w:instrText xml:space="preserve">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w:instrText>
      </w:r>
      <w:r>
        <w:rPr>
          <w:rFonts w:hint="eastAsia"/>
        </w:rPr>
        <w:instrText>“</w:instrText>
      </w:r>
      <w:r>
        <w:rPr>
          <w:rFonts w:hint="eastAsia"/>
        </w:rPr>
        <w:instrText>molecular fingerprints</w:instrText>
      </w:r>
      <w:r>
        <w:rPr>
          <w:rFonts w:hint="eastAsia"/>
        </w:rPr>
        <w:instrText>”</w:instrText>
      </w:r>
      <w:r>
        <w:rPr>
          <w:rFonts w:hint="eastAsia"/>
        </w:rPr>
        <w:instrText xml:space="preserve">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Fonts w:hint="eastAsia"/>
        </w:rPr>
        <w:fldChar w:fldCharType="separate"/>
      </w:r>
      <w:r>
        <w:t>(Hoang et al. 2013; Poon et al. 2013)</w:t>
      </w:r>
      <w:r>
        <w:rPr>
          <w:rFonts w:hint="eastAsia"/>
        </w:rPr>
        <w:fldChar w:fldCharType="end"/>
      </w:r>
      <w:r>
        <w:rPr>
          <w:rFonts w:hint="eastAsia"/>
        </w:rPr>
        <w:t>.</w:t>
      </w:r>
      <w:r>
        <w:t xml:space="preserve"> Subsequent analysis revealed that this signature was also present in bladder, kidney, and liver cancers</w:t>
      </w:r>
      <w:r>
        <w:rPr>
          <w:rFonts w:hint="eastAsia"/>
        </w:rPr>
        <w:t xml:space="preserve"> </w:t>
      </w:r>
      <w:r>
        <w:rPr>
          <w:rFonts w:hint="eastAsia"/>
        </w:rPr>
        <w:fldChar w:fldCharType="begin"/>
      </w:r>
      <w:r>
        <w:rPr>
          <w:rFonts w:hint="eastAsia"/>
        </w:rPr>
        <w:instrText>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w:instrText>
      </w:r>
      <w:r>
        <w:rPr>
          <w:rFonts w:hint="eastAsia"/>
        </w:rPr>
        <w:instrText>†</w:instrText>
      </w:r>
      <w:r>
        <w:rPr>
          <w:rFonts w:hint="eastAsia"/>
        </w:rPr>
        <w:instrText>"},{"family":"Teh","given":"T"},{"family":"Steven","given":"</w:instrText>
      </w:r>
      <w:r>
        <w:rPr>
          <w:rFonts w:hint="eastAsia"/>
        </w:rPr>
        <w:instrText>†</w:instrText>
      </w:r>
      <w:r>
        <w:rPr>
          <w:rFonts w:hint="eastAsia"/>
        </w:rPr>
        <w:instrText>"},{"family":"Rozen","given":"G"}],"issued":{"date-parts":[["2017"]]}}},{"id":"LB8OR9DJ/eojxHO4M","uris":["http://zotero.org/users/14858941/items/UIWWU7GW"],"itemData":{"id":893,"type":"article-journal","abstract":"Background: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Fonts w:hint="eastAsia"/>
        </w:rPr>
        <w:fldChar w:fldCharType="separate"/>
      </w:r>
      <w:r>
        <w:t>(Ng et al. 2017; Poon et al. 2015)</w:t>
      </w:r>
      <w:r>
        <w:rPr>
          <w:rFonts w:hint="eastAsia"/>
        </w:rPr>
        <w:fldChar w:fldCharType="end"/>
      </w:r>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r>
        <w:rPr>
          <w:rFonts w:hint="eastAsia"/>
        </w:rPr>
        <w:fldChar w:fldCharType="begin"/>
      </w:r>
      <w:r>
        <w:rPr>
          <w:rFonts w:hint="eastAsia"/>
        </w:rPr>
        <w:instrText>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w:instrText>
      </w:r>
      <w:r>
        <w:rPr>
          <w:rFonts w:hint="eastAsia"/>
        </w:rPr>
        <w:instrText>–</w:instrText>
      </w:r>
      <w:r>
        <w:rPr>
          <w:rFonts w:hint="eastAsia"/>
        </w:rPr>
        <w:instrText>3. However, whole-genome analysis of hepatitis B virus (HBV)-associated HCC in Chinese individuals is limited4</w:instrText>
      </w:r>
      <w:r>
        <w:rPr>
          <w:rFonts w:hint="eastAsia"/>
        </w:rPr>
        <w:instrText>–</w:instrText>
      </w:r>
      <w:r>
        <w:rPr>
          <w:rFonts w:hint="eastAsia"/>
        </w:rPr>
        <w:instrText>8, with current analyses of HCC mainly from non-HBV-enriched populations9,10. Here we initiated the Chinese Liver Cancer Atlas (CLCA) project and performed deep whole-genome sequencing (average depth, 120</w:instrText>
      </w:r>
      <w:r>
        <w:rPr>
          <w:rFonts w:hint="eastAsia"/>
        </w:rPr>
        <w:instrText>×</w:instrText>
      </w:r>
      <w:r>
        <w:rPr>
          <w:rFonts w:hint="eastAsia"/>
        </w:rPr>
        <w:instrText>)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Fonts w:hint="eastAsia"/>
        </w:rPr>
        <w:fldChar w:fldCharType="separate"/>
      </w:r>
      <w:r>
        <w:t>(Chen et al. 2024)</w:t>
      </w:r>
      <w:r>
        <w:rPr>
          <w:rFonts w:hint="eastAsia"/>
        </w:rPr>
        <w:fldChar w:fldCharType="end"/>
      </w:r>
      <w:r>
        <w:rPr>
          <w:rFonts w:hint="eastAsia"/>
        </w:rPr>
        <w:t>.</w:t>
      </w:r>
    </w:p>
    <w:p w14:paraId="01025874" w14:textId="77777777" w:rsidR="00452489" w:rsidRDefault="00000000">
      <w: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and mismatch repair deficiency </w:t>
      </w:r>
      <w:r>
        <w:fldChar w:fldCharType="begin"/>
      </w:r>
      <w:r>
        <w:instrText>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fldChar w:fldCharType="separate"/>
      </w:r>
      <w:r>
        <w:t>(Davies et al. 2017)</w:t>
      </w:r>
      <w:r>
        <w:fldChar w:fldCharType="end"/>
      </w:r>
      <w:r>
        <w:t>,</w:t>
      </w:r>
      <w:r>
        <w:rPr>
          <w:shd w:val="clear" w:color="auto" w:fill="FFFF00"/>
        </w:rPr>
        <w:t xml:space="preserve"> &lt;add Mini’s MSI paper, and Koh et al&gt;</w:t>
      </w:r>
      <w:r>
        <w:t xml:space="preserve"> and a rare indel hypermutator phenotype due to a mutation in topoisomerase 2 alpha </w:t>
      </w:r>
      <w:r>
        <w:fldChar w:fldCharType="begin"/>
      </w:r>
      <w: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fldChar w:fldCharType="separate"/>
      </w:r>
      <w:r>
        <w:rPr>
          <w:rStyle w:val="normalfirstChar"/>
        </w:rPr>
        <w:t>(Boot et al. 2022)</w:t>
      </w:r>
      <w:r>
        <w:fldChar w:fldCharType="end"/>
      </w:r>
      <w:r>
        <w:rPr>
          <w:rStyle w:val="normalfirstChar"/>
        </w:rPr>
        <w:t xml:space="preserve">. </w:t>
      </w:r>
      <w:r>
        <w:t xml:space="preserve">Despite their importance, indel signatures have received less attention than SBS signatures, and COSMIC v3.5 catalogs 25 indel signatures compared to 78 SBS signatures. </w:t>
      </w:r>
    </w:p>
    <w:p w14:paraId="52081329" w14:textId="77777777" w:rsidR="00452489" w:rsidRDefault="00000000">
      <w:pPr>
        <w:rPr>
          <w:shd w:val="clear" w:color="auto" w:fill="FFFF00"/>
        </w:rPr>
      </w:pPr>
      <w:r>
        <w:rPr>
          <w:shd w:val="clear" w:color="auto" w:fill="FFFF00"/>
        </w:rPr>
        <w:t xml:space="preserve">&lt;check Koh et all counts for indels: 5 * 7 + 2 = 32 including 4 artifacts&gt; </w:t>
      </w:r>
    </w:p>
    <w:p w14:paraId="1AD3EE81" w14:textId="77777777" w:rsidR="00452489" w:rsidRDefault="00000000">
      <w:pPr>
        <w:rPr>
          <w:shd w:val="clear" w:color="auto" w:fill="FFFF00"/>
        </w:rPr>
      </w:pPr>
      <w:r>
        <w:rPr>
          <w:shd w:val="clear" w:color="auto" w:fill="FFFF00"/>
        </w:rPr>
        <w:t>&lt; cosmic SBS: 3 columns| sbs3 to sbs20 9 | sbs22b to sbs42 8 | sbs85 to sbs110 9 &gt;</w:t>
      </w:r>
    </w:p>
    <w:p w14:paraId="4F718B4D" w14:textId="77777777" w:rsidR="00452489" w:rsidRDefault="00000000">
      <w:pPr>
        <w:rPr>
          <w:shd w:val="clear" w:color="auto" w:fill="FFFF00"/>
        </w:rPr>
      </w:pPr>
      <w:r>
        <w:rPr>
          <w:shd w:val="clear" w:color="auto" w:fill="FFFF00"/>
        </w:rPr>
        <w:t xml:space="preserve">&lt;how many indel signatures do we classify?&gt; </w:t>
      </w:r>
    </w:p>
    <w:p w14:paraId="51F9EAE7" w14:textId="77777777" w:rsidR="00452489" w:rsidRDefault="00000000">
      <w:r>
        <w:t xml:space="preserve">There are two main systems for classifying indel mutations. The established 83-type scheme recognizes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 and is used on the COSMIC web site (https://cancer.sanger.ac.uk/signatures/id/, </w:t>
      </w:r>
      <w:hyperlink r:id="rId8">
        <w:r w:rsidR="00452489">
          <w:rPr>
            <w:rStyle w:val="Hyperlink"/>
          </w:rPr>
          <w:t>https://cancer.sanger.ac.uk/signatures/documents/4/PCAWG7_indel_classification_2021_08_31.xlsx</w:t>
        </w:r>
      </w:hyperlink>
      <w:r>
        <w:t xml:space="preserve">, Figure 1A). The new 89-type classification scheme recognizes 89 indel types and in many cases, but not all, provides better discrimination between mutational patterns  </w:t>
      </w:r>
      <w:r>
        <w:fldChar w:fldCharType="begin"/>
      </w:r>
      <w:r>
        <w:instrText>ADDIN ZOTERO_ITEM CSL_CITATION {"citationID":"kySsPJMK","properties":{"formattedCitation":"(Koh et al. 2025)","plainCitation":"(Koh et al. 2025)","noteIndex":0},"citationItems":[{"id":"LB8OR9DJ/700SJbQ9","uris":["http://zotero.org/users/14858941/items/TMR7S8H6"],"itemData":{"id":899,"type":"article-journal","abstract":"Abstract\n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fldChar w:fldCharType="separate"/>
      </w:r>
      <w:r>
        <w:t>(Koh et al. 2025)</w:t>
      </w:r>
      <w:r>
        <w:fldChar w:fldCharType="end"/>
      </w:r>
      <w:r>
        <w:t xml:space="preserve">(Figure 1B).  Of note, algorithmic translation between the two classification schemes is impossible, even using a more fine-grained classification scheme of 476 indel types as an intermediary </w:t>
      </w:r>
      <w:r>
        <w:rPr>
          <w:shd w:val="clear" w:color="auto" w:fill="FFFF00"/>
        </w:rPr>
        <w:t xml:space="preserve">&lt;ref </w:t>
      </w:r>
      <w:proofErr w:type="spellStart"/>
      <w:r>
        <w:rPr>
          <w:shd w:val="clear" w:color="auto" w:fill="FFFF00"/>
        </w:rPr>
        <w:t>koh</w:t>
      </w:r>
      <w:proofErr w:type="spellEnd"/>
      <w:r>
        <w:rPr>
          <w:shd w:val="clear" w:color="auto" w:fill="FFFF00"/>
        </w:rPr>
        <w:t xml:space="preserve"> et al.&gt; (Table S XXXX)</w:t>
      </w:r>
    </w:p>
    <w:p w14:paraId="7BB58944" w14:textId="77777777" w:rsidR="00452489" w:rsidRDefault="00000000">
      <w:r>
        <w:lastRenderedPageBreak/>
        <w:t xml:space="preserve">The </w:t>
      </w:r>
      <w:r>
        <w:rPr>
          <w:rFonts w:hint="eastAsia"/>
        </w:rPr>
        <w:t>83-ty</w:t>
      </w:r>
      <w:r>
        <w:t>pe classification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the 83-type system incorporates</w:t>
      </w:r>
      <w:r>
        <w:rPr>
          <w:rFonts w:hint="eastAsia"/>
        </w:rPr>
        <w:t xml:space="preserve"> 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 xml:space="preserve">|GG </w:t>
      </w:r>
      <w:r>
        <w:rPr>
          <w:rFonts w:hint="eastAsia"/>
        </w:rPr>
        <w:t>→</w:t>
      </w:r>
      <w:r>
        <w:rPr>
          <w:rFonts w:hint="eastAsia"/>
        </w:rPr>
        <w:t xml:space="preserve"> A</w:t>
      </w:r>
      <w:r>
        <w:rPr>
          <w:b/>
          <w:bCs/>
        </w:rPr>
        <w:t>CA</w:t>
      </w:r>
      <w:r>
        <w:rPr>
          <w:rFonts w:hint="eastAsia"/>
        </w:rPr>
        <w:t>GG) exhibits a 2-b</w:t>
      </w:r>
      <w:r>
        <w:t>ase</w:t>
      </w:r>
      <w:r>
        <w:rPr>
          <w:rFonts w:hint="eastAsia"/>
        </w:rPr>
        <w:t xml:space="preserve"> microhomology (CA)</w:t>
      </w:r>
      <w:r>
        <w:t xml:space="preserve">. </w:t>
      </w:r>
    </w:p>
    <w:p w14:paraId="7E5FDE60" w14:textId="77777777" w:rsidR="00452489" w:rsidRDefault="00000000">
      <w:r>
        <w:t xml:space="preserve">Koh et al., &lt;reference&gt; showed that for indels of a single T or C, making distinctions based on the non-T (respectively, the non-C) flaking bases substantially improves resolution of signatures involving single-base indels. For example, the 89-type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makes (Figure 1B versus Figure 1C). Furthermore, the 89-type distinguishes 19 simple indel types of </w:t>
      </w:r>
      <w:r>
        <w:rPr>
          <w:rFonts w:ascii="Liberation Serif" w:eastAsia="Liberation Serif" w:hAnsi="Liberation Serif" w:cs="Liberation Serif"/>
        </w:rPr>
        <w:t>≥</w:t>
      </w:r>
      <w:r>
        <w:t xml:space="preserve"> 2 bases, compared to 59 types distinguished by the 83-type classification. </w:t>
      </w:r>
    </w:p>
    <w:p w14:paraId="3EE2FFA3" w14:textId="77777777" w:rsidR="00452489" w:rsidRDefault="00000000">
      <w:proofErr w:type="gramStart"/>
      <w:r>
        <w:t>There</w:t>
      </w:r>
      <w:proofErr w:type="gramEnd"/>
      <w:r>
        <w:t xml:space="preserve"> </w:t>
      </w:r>
      <w:proofErr w:type="gramStart"/>
      <w:r>
        <w:t>advantages</w:t>
      </w:r>
      <w:proofErr w:type="gramEnd"/>
      <w:r>
        <w:t xml:space="preserve"> to each of the two indel classification schemes. In the 83-type system, the AA signature shows that the most common deletion of a single T occurs as V1TV2 &gt; V1V2, </w:t>
      </w:r>
      <w:r>
        <w:lastRenderedPageBreak/>
        <w:t xml:space="preserve">where V indicates any base other than T, and V1 need not be the same as V2. This is a distinction that the 89-type AA signature does not capture. However, the 89-type AA signature shows that deletions of T are usually associated with a flanking A, which one might speculate is related to the adenine adducts caused by AA. </w:t>
      </w:r>
      <w:proofErr w:type="gramStart"/>
      <w:r>
        <w:t>These adenine</w:t>
      </w:r>
      <w:proofErr w:type="gramEnd"/>
      <w:r>
        <w:t xml:space="preserve"> adducts are also thought to be responsible for the predominance of A&gt;T single base substitutions in the AA SBS signature and of the frequent involvement of </w:t>
      </w:r>
      <w:proofErr w:type="gramStart"/>
      <w:r>
        <w:t>adenines</w:t>
      </w:r>
      <w:proofErr w:type="gramEnd"/>
      <w:r>
        <w:t xml:space="preserve"> in the AA DBS signatures (Figure 1</w:t>
      </w:r>
      <w:proofErr w:type="gramStart"/>
      <w:r>
        <w:t>C,D</w:t>
      </w:r>
      <w:proofErr w:type="gramEnd"/>
      <w:r>
        <w:t>).</w:t>
      </w:r>
    </w:p>
    <w:p w14:paraId="2575E64F" w14:textId="77777777" w:rsidR="00452489" w:rsidRDefault="00000000">
      <w:pPr>
        <w:pStyle w:val="ListParagraph"/>
        <w:ind w:firstLine="480"/>
      </w:pPr>
      <w:r>
        <w:t xml:space="preserve">Here, we analyzed somatic indels in </w:t>
      </w:r>
      <w:r>
        <w:rPr>
          <w:rFonts w:hint="eastAsia"/>
        </w:rPr>
        <w:t>6,975</w:t>
      </w:r>
      <w:r>
        <w:t xml:space="preserve"> whole genomes to create a comprehensive collection of indel mutational signatures using both the 83-type and 89-type classification schemes using approaches based on hierarchical Dirichlet processes and on non-negative matrix factorization.  To systematically compare the two signature catalogs, we developed and applied a new pipeline to match the 8</w:t>
      </w:r>
      <w:r>
        <w:rPr>
          <w:rFonts w:hint="eastAsia"/>
        </w:rPr>
        <w:t>3-ty</w:t>
      </w:r>
      <w:r>
        <w:t>pe and 8</w:t>
      </w:r>
      <w:r>
        <w:rPr>
          <w:rFonts w:hint="eastAsia"/>
        </w:rPr>
        <w:t>9-type</w:t>
      </w:r>
      <w:r>
        <w:t xml:space="preserve"> signatures based on tumor samples with high signature proportions</w:t>
      </w:r>
      <w:r>
        <w:rPr>
          <w:rFonts w:hint="eastAsia"/>
        </w:rPr>
        <w:t xml:space="preserve"> and cosine similarities</w:t>
      </w:r>
      <w:r>
        <w:t>. We further profiled the replication timing, asymmetry</w:t>
      </w:r>
      <w:r>
        <w:rPr>
          <w:rFonts w:hint="eastAsia"/>
        </w:rPr>
        <w:t xml:space="preserve"> between genic and intergenic regions and </w:t>
      </w:r>
      <w:r>
        <w:t>asymmetry</w:t>
      </w:r>
      <w:r>
        <w:rPr>
          <w:rFonts w:hint="eastAsia"/>
        </w:rPr>
        <w:t xml:space="preserve"> between leading and lagging </w:t>
      </w:r>
      <w:r>
        <w:t xml:space="preserve">replication strand of each signature, providing insights into their underlying mutational processes. </w:t>
      </w:r>
      <w:r>
        <w:rPr>
          <w:shd w:val="clear" w:color="auto" w:fill="FFFF00"/>
        </w:rPr>
        <w:t>&lt;need to edit later&gt; Together, our analyses provide an expanded and detailed landscape of both the 8</w:t>
      </w:r>
      <w:r>
        <w:rPr>
          <w:rFonts w:hint="eastAsia"/>
          <w:shd w:val="clear" w:color="auto" w:fill="FFFF00"/>
        </w:rPr>
        <w:t>3-ty</w:t>
      </w:r>
      <w:r>
        <w:rPr>
          <w:shd w:val="clear" w:color="auto" w:fill="FFFF00"/>
        </w:rPr>
        <w:t>pe and 8</w:t>
      </w:r>
      <w:r>
        <w:rPr>
          <w:rFonts w:hint="eastAsia"/>
          <w:shd w:val="clear" w:color="auto" w:fill="FFFF00"/>
        </w:rPr>
        <w:t>9-type</w:t>
      </w:r>
      <w:r>
        <w:rPr>
          <w:shd w:val="clear" w:color="auto" w:fill="FFFF00"/>
        </w:rPr>
        <w:t xml:space="preserve"> mutational signatures, their contributions to key cancer genes, associations to SBSs and to sex within a given cancer type, as well as their replication timing, replication strand bias, and genic versus intergenic distributions, and provide a web site to facilitate exploration of these signatures</w:t>
      </w:r>
    </w:p>
    <w:p w14:paraId="3711333A" w14:textId="77777777" w:rsidR="00452489" w:rsidRDefault="00000000">
      <w:pPr>
        <w:pStyle w:val="Heading1"/>
      </w:pPr>
      <w:r>
        <w:lastRenderedPageBreak/>
        <w:t>Results</w:t>
      </w:r>
    </w:p>
    <w:p w14:paraId="29E6F956" w14:textId="77777777" w:rsidR="00452489" w:rsidRDefault="00000000">
      <w:pPr>
        <w:pStyle w:val="Heading2"/>
      </w:pPr>
      <w:r>
        <w:t>Repertoire of indel signatures based on de novo signature discovery</w:t>
      </w:r>
    </w:p>
    <w:p w14:paraId="1CF813BD" w14:textId="77777777" w:rsidR="00452489" w:rsidRDefault="00000000">
      <w:pPr>
        <w:pStyle w:val="normalfirst"/>
      </w:pPr>
      <w:r>
        <w:t>We extracted signatures from somatic indels spectra from a total of 6,975 cancer genomes encompassing 32 cancer types  (spectra in Supplementary Tables S</w:t>
      </w:r>
      <w:r>
        <w:rPr>
          <w:rFonts w:hint="eastAsia"/>
        </w:rPr>
        <w:t xml:space="preserve">8 and S9 </w:t>
      </w:r>
      <w:r>
        <w:rPr>
          <w:rFonts w:hint="eastAsia"/>
        </w:rPr>
        <w:t>–</w:t>
      </w:r>
      <w:r>
        <w:rPr>
          <w:rFonts w:hint="eastAsia"/>
        </w:rPr>
        <w:t xml:space="preserve"> need 83, 89, and 476 spectra)</w:t>
      </w:r>
      <w:r>
        <w:t xml:space="preserve">.  </w:t>
      </w:r>
    </w:p>
    <w:p w14:paraId="7419F5AD" w14:textId="77777777" w:rsidR="00452489" w:rsidRDefault="00000000">
      <w:pPr>
        <w:pStyle w:val="normalfirst"/>
        <w:rPr>
          <w:shd w:val="clear" w:color="auto" w:fill="FFFF00"/>
        </w:rPr>
      </w:pPr>
      <w:r>
        <w:rPr>
          <w:shd w:val="clear" w:color="auto" w:fill="FFFF00"/>
        </w:rPr>
        <w:t xml:space="preserve">We extracted indel signatures in the 83, 89, 476-type classification schemes using </w:t>
      </w:r>
      <w:proofErr w:type="spellStart"/>
      <w:r>
        <w:rPr>
          <w:shd w:val="clear" w:color="auto" w:fill="FFFF00"/>
        </w:rPr>
        <w:t>mSigHdp</w:t>
      </w:r>
      <w:proofErr w:type="spellEnd"/>
      <w:r>
        <w:rPr>
          <w:shd w:val="clear" w:color="auto" w:fill="FFFF00"/>
        </w:rPr>
        <w:t xml:space="preserve">, a method based on hierarchical Dirichlet processes </w:t>
      </w:r>
      <w:r>
        <w:t xml:space="preserve"> </w:t>
      </w:r>
      <w:r>
        <w:fldChar w:fldCharType="begin"/>
      </w:r>
      <w:r>
        <w:instrText>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fldChar w:fldCharType="separate"/>
      </w:r>
      <w:r>
        <w:t>(Liu et al. 2023)</w:t>
      </w:r>
      <w:r>
        <w:fldChar w:fldCharType="end"/>
      </w:r>
      <w:r>
        <w:rPr>
          <w:shd w:val="clear" w:color="auto" w:fill="FFFF00"/>
        </w:rPr>
        <w:t xml:space="preserve">, and </w:t>
      </w:r>
      <w:proofErr w:type="spellStart"/>
      <w:r>
        <w:t>SigProfilerExtractor</w:t>
      </w:r>
      <w:proofErr w:type="spellEnd"/>
      <w:r>
        <w:t xml:space="preserve"> (</w:t>
      </w:r>
      <w:proofErr w:type="spellStart"/>
      <w:r>
        <w:t>SigPro</w:t>
      </w:r>
      <w:proofErr w:type="spellEnd"/>
      <w:r>
        <w:t xml:space="preserve">), a method based on non-negative matrix factorization </w:t>
      </w:r>
      <w:r>
        <w:fldChar w:fldCharType="begin"/>
      </w:r>
      <w:r>
        <w:instrText>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fldChar w:fldCharType="separate"/>
      </w:r>
      <w:r>
        <w:t>(Islam et al. 2022)</w:t>
      </w:r>
      <w:r>
        <w:fldChar w:fldCharType="end"/>
      </w:r>
      <w:r>
        <w:t>.</w:t>
      </w:r>
    </w:p>
    <w:p w14:paraId="22F2DAA5" w14:textId="77777777" w:rsidR="00452489" w:rsidRDefault="00000000">
      <w:pPr>
        <w:pStyle w:val="normalfirst"/>
        <w:rPr>
          <w:shd w:val="clear" w:color="auto" w:fill="FFFF00"/>
        </w:rPr>
      </w:pPr>
      <w:r>
        <w:t xml:space="preserve">The extracted signatures were broadly consistent between the two methods </w:t>
      </w:r>
      <w:r>
        <w:rPr>
          <w:shd w:val="clear" w:color="auto" w:fill="FFFF00"/>
        </w:rPr>
        <w:t xml:space="preserve">see table 1, our web page, and details in table S12 and &lt;elsewhere&gt;, including our web page), </w:t>
      </w:r>
    </w:p>
    <w:p w14:paraId="59BABBE3" w14:textId="77777777" w:rsidR="00452489" w:rsidRDefault="00000000">
      <w:pPr>
        <w:pStyle w:val="normalfirst"/>
      </w:pPr>
      <w:r>
        <w:tab/>
        <w:t>We identified a comprehensive set of 45 &lt;now 47?&gt; mutational signatures in the 89-type classification scheme, of which XX were previously unreported, and 33 signatures in the 83-type classification of which XXX were previously unreported &lt;cite musical and cosmic&gt;</w:t>
      </w:r>
      <w:r>
        <w:rPr>
          <w:rFonts w:hint="eastAsia"/>
        </w:rPr>
        <w:t xml:space="preserve"> (Figures 2, 3, and Table 1)</w:t>
      </w:r>
      <w:r>
        <w:t>.  XXX in 476-type classification.</w:t>
      </w:r>
    </w:p>
    <w:p w14:paraId="6BC6EC66" w14:textId="77777777" w:rsidR="00452489" w:rsidRDefault="00000000">
      <w:pPr>
        <w:pStyle w:val="normalfirst"/>
      </w:pPr>
      <w:r>
        <w:tab/>
        <w:t xml:space="preserve">We compared the extracted 83-type signatures to XXXXXX COSMIC and Jin et al.  re-identified signatures </w:t>
      </w:r>
      <w:proofErr w:type="gramStart"/>
      <w:r>
        <w:t>similar to</w:t>
      </w:r>
      <w:proofErr w:type="gramEnd"/>
      <w:r>
        <w:t xml:space="preserve"> 18 of 83-type signatures in COSMIC v3.5 (</w:t>
      </w:r>
      <w:r>
        <w:rPr>
          <w:rFonts w:hint="eastAsia"/>
        </w:rPr>
        <w:t>C_ID1 to C_ID23 in Figure2)</w:t>
      </w:r>
      <w:r>
        <w:t>. &lt;Jin et al signatures&gt; The signatures that were not detected were (I) ID15 and ID16, which were seen in 2 and 1 tumors, respectively in a non-PCAWG data set &lt;ref Alexandrov 2020&gt; ;  ID20, ID21, ID22 reported in a preprint without details of where these were detected and ID24, ID25 &lt;</w:t>
      </w:r>
      <w:hyperlink r:id="rId9">
        <w:r w:rsidR="00452489">
          <w:rPr>
            <w:rStyle w:val="Hyperlink"/>
          </w:rPr>
          <w:t>https://www.nature.com/articles/s41586-025-09025-8</w:t>
        </w:r>
      </w:hyperlink>
      <w:r>
        <w:t xml:space="preserve">&gt;, </w:t>
      </w:r>
      <w:hyperlink r:id="rId10">
        <w:r w:rsidR="00452489">
          <w:rPr>
            <w:rStyle w:val="Hyperlink"/>
          </w:rPr>
          <w:t>https://www.medrxiv.org/content/10.1101/2023.06.07.23290970v1</w:t>
        </w:r>
      </w:hyperlink>
      <w:r>
        <w:t xml:space="preserve">&gt; https://www.biorxiv.org/content/10.1101/2025.03.14.643063v1 The ability of </w:t>
      </w:r>
      <w:proofErr w:type="spellStart"/>
      <w:r>
        <w:t>mSigHdp</w:t>
      </w:r>
      <w:proofErr w:type="spellEnd"/>
      <w:r>
        <w:t xml:space="preserve"> &lt;and </w:t>
      </w:r>
      <w:proofErr w:type="spellStart"/>
      <w:r>
        <w:lastRenderedPageBreak/>
        <w:t>Sigprofiler</w:t>
      </w:r>
      <w:proofErr w:type="spellEnd"/>
      <w:r>
        <w:t>?&gt; to recover all COSMIC signatures present in PCAWG highlights its robustness for mutational signature analysis.</w:t>
      </w:r>
    </w:p>
    <w:p w14:paraId="4967E556" w14:textId="77777777" w:rsidR="00452489" w:rsidRDefault="00000000">
      <w:pPr>
        <w:pStyle w:val="normalfirst"/>
      </w:pPr>
      <w:r>
        <w:t>We compared the compared the 89-types signatures that we extracted to the 37 89-type signatures reported by Koh et al., 2025. Of these, 21 were recapitulated in our analysis, while 10 were not identified—either due to being artefactual or absent from the PCAWG or HMF datasets. An additional six Koh et al. signatures could be reconstructed using 89-type signatures that we extracted (see Methods and Table S</w:t>
      </w:r>
      <w:r>
        <w:rPr>
          <w:rFonts w:hint="eastAsia"/>
        </w:rPr>
        <w:t>1</w:t>
      </w:r>
      <w:r>
        <w:t xml:space="preserve">). Beyond the signatures reported by Koh et al., we identified 23 new 89-type signatures. Of </w:t>
      </w:r>
      <w:proofErr w:type="gramStart"/>
      <w:r>
        <w:t>these,  12</w:t>
      </w:r>
      <w:proofErr w:type="gramEnd"/>
      <w:r>
        <w:t xml:space="preserve"> </w:t>
      </w:r>
      <w:proofErr w:type="gramStart"/>
      <w:r>
        <w:t>map</w:t>
      </w:r>
      <w:proofErr w:type="gramEnd"/>
      <w:r>
        <w:t xml:space="preserve"> to 83-type signatures, 10 correspond to the novel 83-type signatures, and one does not align with any 83-type signature </w:t>
      </w:r>
      <w:r>
        <w:rPr>
          <w:shd w:val="clear" w:color="auto" w:fill="FFFF00"/>
        </w:rPr>
        <w:t>&lt;Is this still true? I don’t see it in table 1&gt;</w:t>
      </w:r>
      <w:r>
        <w:rPr>
          <w:rFonts w:hint="eastAsia"/>
        </w:rPr>
        <w:t xml:space="preserve"> (Table 1)</w:t>
      </w:r>
      <w:r>
        <w:t>.</w:t>
      </w:r>
    </w:p>
    <w:p w14:paraId="31D5FDD1" w14:textId="77777777" w:rsidR="00452489" w:rsidRDefault="00452489">
      <w:pPr>
        <w:pStyle w:val="normalfirst"/>
        <w:rPr>
          <w:shd w:val="clear" w:color="auto" w:fill="FFFF00"/>
        </w:rPr>
      </w:pPr>
    </w:p>
    <w:p w14:paraId="79771224" w14:textId="77777777" w:rsidR="00452489" w:rsidRDefault="00000000">
      <w:pPr>
        <w:pStyle w:val="normalfirst"/>
        <w:rPr>
          <w:shd w:val="clear" w:color="auto" w:fill="FFFF00"/>
        </w:rPr>
      </w:pPr>
      <w:r>
        <w:t>We established correspondences between the 3 classifications by identifying tumor spectra dominated by the signatures (Table 1, Supplementary File 1 &lt;the vignettes&gt;). It was often useful to use the signatures in all 3 classifications to clarify which signatures were well supported</w:t>
      </w:r>
    </w:p>
    <w:p w14:paraId="67FFD966" w14:textId="77777777" w:rsidR="00452489" w:rsidRDefault="00452489">
      <w:pPr>
        <w:pStyle w:val="normalfirst"/>
      </w:pPr>
    </w:p>
    <w:p w14:paraId="5D4414AA" w14:textId="77777777" w:rsidR="00452489" w:rsidRDefault="00452489">
      <w:pPr>
        <w:pStyle w:val="normalfirst"/>
      </w:pPr>
    </w:p>
    <w:p w14:paraId="17D9AC34" w14:textId="77777777" w:rsidR="00452489" w:rsidRDefault="00452489">
      <w:pPr>
        <w:pStyle w:val="normalfirst"/>
      </w:pPr>
    </w:p>
    <w:p w14:paraId="14B016B1" w14:textId="77777777" w:rsidR="00452489" w:rsidRDefault="00452489"/>
    <w:p w14:paraId="426348EF" w14:textId="77777777" w:rsidR="00452489" w:rsidRDefault="00452489"/>
    <w:p w14:paraId="75F1E159" w14:textId="77777777" w:rsidR="00452489" w:rsidRDefault="00000000">
      <w:r>
        <w:lastRenderedPageBreak/>
        <w:t xml:space="preserve">Notably, there were nuanced differences between some COSMIC signatures and those extracted by </w:t>
      </w:r>
      <w:proofErr w:type="spellStart"/>
      <w:r>
        <w:t>mSigHdp</w:t>
      </w:r>
      <w:proofErr w:type="spellEnd"/>
      <w:r>
        <w:t xml:space="preserve">, with our </w:t>
      </w:r>
      <w:proofErr w:type="spellStart"/>
      <w:r>
        <w:t>mSigHdp</w:t>
      </w:r>
      <w:proofErr w:type="spellEnd"/>
      <w:r>
        <w:t>-derived signatures often providing more biologically plausible characterizations: ID9 (see code repo)</w:t>
      </w:r>
    </w:p>
    <w:p w14:paraId="5B5EFC15" w14:textId="77777777" w:rsidR="00452489" w:rsidRDefault="00452489"/>
    <w:p w14:paraId="65F98911" w14:textId="77777777" w:rsidR="00452489" w:rsidRDefault="00000000">
      <w:r>
        <w:rPr>
          <w:rFonts w:hint="eastAsia"/>
        </w:rPr>
        <w:t>&lt;moved to temp docInsdel_5_and_8_discussion.docx for rewriting&gt;</w:t>
      </w:r>
    </w:p>
    <w:p w14:paraId="310C5068" w14:textId="77777777" w:rsidR="00452489" w:rsidRDefault="00000000">
      <w:r>
        <w:t xml:space="preserve">(3) ID17: Compared to COSMIC ID17, </w:t>
      </w:r>
      <w:r>
        <w:rPr>
          <w:rFonts w:hint="eastAsia"/>
        </w:rPr>
        <w:t xml:space="preserve">we found that </w:t>
      </w:r>
      <w:r>
        <w:t>C_ID17 signature enhanced the pattern of deletions at repeats and microhomologies, showing similarities to ID8 deletions. Boot et al. identified and validated an association between the TOP2A (Topoisomerase 2A) p.K743N mutation and ID17 (also known as ID_TOP2A) using a yeast model. Our analysis revealed that our C_ID</w:t>
      </w:r>
      <w:r>
        <w:rPr>
          <w:rFonts w:hint="eastAsia"/>
        </w:rPr>
        <w:t>1</w:t>
      </w:r>
      <w:r>
        <w:t xml:space="preserve">7 signature demonstrates a closer resemblance to the ID_TOP2A signature identified by Boot et al. than to COSMIC ID17 (Figure </w:t>
      </w:r>
      <w:r>
        <w:rPr>
          <w:rFonts w:hint="eastAsia"/>
        </w:rPr>
        <w:t>S3A, B</w:t>
      </w:r>
      <w:r>
        <w:t xml:space="preserve">, cosine similarity = 0.982). </w:t>
      </w:r>
      <w:r>
        <w:rPr>
          <w:shd w:val="clear" w:color="auto" w:fill="FFFF00"/>
        </w:rPr>
        <w:t xml:space="preserve"> &lt;How did we get ID_</w:t>
      </w:r>
      <w:proofErr w:type="gramStart"/>
      <w:r>
        <w:rPr>
          <w:shd w:val="clear" w:color="auto" w:fill="FFFF00"/>
        </w:rPr>
        <w:t>TOP2A in</w:t>
      </w:r>
      <w:proofErr w:type="gramEnd"/>
      <w:r>
        <w:rPr>
          <w:shd w:val="clear" w:color="auto" w:fill="FFFF00"/>
        </w:rPr>
        <w:t xml:space="preserve"> </w:t>
      </w:r>
      <w:proofErr w:type="gramStart"/>
      <w:r>
        <w:rPr>
          <w:shd w:val="clear" w:color="auto" w:fill="FFFF00"/>
        </w:rPr>
        <w:t>first place</w:t>
      </w:r>
      <w:proofErr w:type="gramEnd"/>
      <w:r>
        <w:rPr>
          <w:shd w:val="clear" w:color="auto" w:fill="FFFF00"/>
        </w:rPr>
        <w:t>? Do we need to look at the original data in 87 and 476 type&gt;</w:t>
      </w:r>
    </w:p>
    <w:p w14:paraId="40756997" w14:textId="77777777" w:rsidR="00452489" w:rsidRDefault="00000000">
      <w:pPr>
        <w:pStyle w:val="Heading2"/>
      </w:pPr>
      <w:r>
        <w:t>Signature activity</w:t>
      </w:r>
    </w:p>
    <w:p w14:paraId="7360AE74" w14:textId="77777777" w:rsidR="00452489" w:rsidRDefault="00000000">
      <w:r>
        <w:t xml:space="preserve">We evaluated the activity of </w:t>
      </w:r>
      <w:r>
        <w:rPr>
          <w:rFonts w:hint="eastAsia"/>
        </w:rPr>
        <w:t>83-type and 89-type</w:t>
      </w:r>
      <w:r>
        <w:t xml:space="preserve"> signatures &lt;what about 476?&gt; using </w:t>
      </w:r>
      <w:proofErr w:type="spellStart"/>
      <w:r>
        <w:t>mSigAct</w:t>
      </w:r>
      <w:proofErr w:type="spellEnd"/>
      <w:r>
        <w:t xml:space="preserve">, a tool </w:t>
      </w:r>
      <w:r>
        <w:rPr>
          <w:rFonts w:hint="eastAsia"/>
        </w:rPr>
        <w:t xml:space="preserve">incorporating statistical analysis for the presence of a given signature </w:t>
      </w:r>
      <w:r>
        <w:rPr>
          <w:rFonts w:hint="eastAsia"/>
        </w:rPr>
        <w:fldChar w:fldCharType="begin"/>
      </w:r>
      <w:r>
        <w:rPr>
          <w:rFonts w:hint="eastAsia"/>
        </w:rPr>
        <w:instrText>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Fonts w:hint="eastAsia"/>
        </w:rPr>
        <w:fldChar w:fldCharType="separate"/>
      </w:r>
      <w:r>
        <w:t>(Jiang et al. 2024)</w:t>
      </w:r>
      <w:r>
        <w:rPr>
          <w:rFonts w:hint="eastAsia"/>
        </w:rPr>
        <w:fldChar w:fldCharType="end"/>
      </w:r>
      <w:r>
        <w:t xml:space="preserve">. Tumors with high TMB often exhibit </w:t>
      </w:r>
      <w:r>
        <w:rPr>
          <w:rFonts w:hint="eastAsia"/>
        </w:rPr>
        <w:t xml:space="preserve">large amounts of </w:t>
      </w:r>
      <w:r>
        <w:t xml:space="preserve">1 bp T deletions and/or insertions in </w:t>
      </w:r>
      <w:proofErr w:type="spellStart"/>
      <w:r>
        <w:t>polyT</w:t>
      </w:r>
      <w:proofErr w:type="spellEnd"/>
      <w:r>
        <w:t xml:space="preserve"> sequences (</w:t>
      </w:r>
      <w:proofErr w:type="gramStart"/>
      <w:r>
        <w:t>DEL:T</w:t>
      </w:r>
      <w:proofErr w:type="gramEnd"/>
      <w:r>
        <w:t xml:space="preserve">:1:5+ and/or </w:t>
      </w:r>
      <w:proofErr w:type="gramStart"/>
      <w:r>
        <w:t>INS:T</w:t>
      </w:r>
      <w:proofErr w:type="gramEnd"/>
      <w:r>
        <w:t xml:space="preserve">:1:5+). These predominant peaks can obscure other signals, affecting the accuracy of signature assignment analysis. To address this, we propose a </w:t>
      </w:r>
      <w:r>
        <w:rPr>
          <w:rFonts w:hint="eastAsia"/>
        </w:rPr>
        <w:t>novel</w:t>
      </w:r>
      <w:r>
        <w:t xml:space="preserve"> approach for analyzing signature assignments </w:t>
      </w:r>
      <w:r>
        <w:rPr>
          <w:rFonts w:hint="eastAsia"/>
        </w:rPr>
        <w:t xml:space="preserve">specialized for 83-type spectra: </w:t>
      </w:r>
      <w:r>
        <w:rPr>
          <w:rFonts w:hint="eastAsia"/>
          <w:shd w:val="clear" w:color="auto" w:fill="FFFF00"/>
        </w:rPr>
        <w:t>&lt;Mo to provide sup fig showing this&gt;</w:t>
      </w:r>
      <w:r>
        <w:t xml:space="preserve"> </w:t>
      </w:r>
      <w:r>
        <w:rPr>
          <w:rFonts w:hint="eastAsia"/>
        </w:rPr>
        <w:t>f</w:t>
      </w:r>
      <w:r>
        <w:t xml:space="preserve">irst, we removed </w:t>
      </w:r>
      <w:proofErr w:type="gramStart"/>
      <w:r>
        <w:t>DEL:T</w:t>
      </w:r>
      <w:proofErr w:type="gramEnd"/>
      <w:r>
        <w:t xml:space="preserve">:1:5+ and </w:t>
      </w:r>
      <w:proofErr w:type="gramStart"/>
      <w:r>
        <w:t>INS:T</w:t>
      </w:r>
      <w:proofErr w:type="gramEnd"/>
      <w:r>
        <w:t xml:space="preserve">:1:5+ mutations to enhance the visibility of other peaks, resulting in </w:t>
      </w:r>
      <w:r>
        <w:rPr>
          <w:rFonts w:hint="eastAsia"/>
        </w:rPr>
        <w:t xml:space="preserve">Indel81 </w:t>
      </w:r>
      <w:r>
        <w:t xml:space="preserve">catalogs/signatures. Next, these </w:t>
      </w:r>
      <w:r>
        <w:rPr>
          <w:rFonts w:hint="eastAsia"/>
        </w:rPr>
        <w:t xml:space="preserve">Indel81 </w:t>
      </w:r>
      <w:r>
        <w:t xml:space="preserve">catalogs were reconstructed from the </w:t>
      </w:r>
      <w:r>
        <w:rPr>
          <w:rFonts w:hint="eastAsia"/>
        </w:rPr>
        <w:t xml:space="preserve">Indel81 </w:t>
      </w:r>
      <w:r>
        <w:t xml:space="preserve">signatures. After this reconstruction, </w:t>
      </w:r>
      <w:proofErr w:type="gramStart"/>
      <w:r>
        <w:lastRenderedPageBreak/>
        <w:t>DEL:T</w:t>
      </w:r>
      <w:proofErr w:type="gramEnd"/>
      <w:r>
        <w:t xml:space="preserve">:1:5+ and </w:t>
      </w:r>
      <w:proofErr w:type="gramStart"/>
      <w:r>
        <w:t>INS:T</w:t>
      </w:r>
      <w:proofErr w:type="gramEnd"/>
      <w:r>
        <w: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14:paraId="5F1187DB" w14:textId="77777777" w:rsidR="00452489" w:rsidRDefault="00000000">
      <w:r>
        <w:t xml:space="preserve">Consistent with previous reports, C_ID1, C_ID2, C_ID5, and C_ID8 were detected in </w:t>
      </w:r>
      <w:proofErr w:type="gramStart"/>
      <w:r>
        <w:t>the majority of</w:t>
      </w:r>
      <w:proofErr w:type="gramEnd"/>
      <w:r>
        <w:t xml:space="preserve"> cancer types, while C_ID3 was particularly prominent in lung and liver cancers, and C_ID13 was enriched in skin cancers (Figure </w:t>
      </w:r>
      <w:r>
        <w:rPr>
          <w:rFonts w:hint="eastAsia"/>
        </w:rPr>
        <w:t>4a</w:t>
      </w:r>
      <w:r>
        <w:t xml:space="preserve">). The novel signatures identified by </w:t>
      </w:r>
      <w:proofErr w:type="spellStart"/>
      <w:r>
        <w:t>mSigHdp</w:t>
      </w:r>
      <w:proofErr w:type="spellEnd"/>
      <w:r>
        <w:t xml:space="preserve"> generally exhibited activity in fewer cancer types compared to established COSMIC signatures, </w:t>
      </w:r>
      <w:proofErr w:type="gramStart"/>
      <w:r>
        <w:t>with the exception of</w:t>
      </w:r>
      <w:proofErr w:type="gramEnd"/>
      <w:r>
        <w:t xml:space="preserve"> Hx_ID24/ID_A and Hx_ID25/ID_B, which were prevalent across a wide range of cancers (Figure </w:t>
      </w:r>
      <w:r>
        <w:rPr>
          <w:rFonts w:hint="eastAsia"/>
        </w:rPr>
        <w:t>4b</w:t>
      </w:r>
      <w:r>
        <w:t>). 89-type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t xml:space="preserve">Figure </w:t>
      </w:r>
      <w:r>
        <w:rPr>
          <w:rFonts w:hint="eastAsia"/>
        </w:rPr>
        <w:t>4a</w:t>
      </w:r>
      <w:r>
        <w:t>).</w:t>
      </w:r>
    </w:p>
    <w:p w14:paraId="3E95D62B" w14:textId="77777777" w:rsidR="00452489" w:rsidRDefault="00000000">
      <w:r>
        <w:t xml:space="preserve">We further analyzed the correlations between our </w:t>
      </w:r>
      <w:r>
        <w:rPr>
          <w:rFonts w:hint="eastAsia"/>
        </w:rPr>
        <w:t>Indel</w:t>
      </w:r>
      <w:r>
        <w:t xml:space="preserve"> signature activities and SBS signature activities from Degasperi et al. in both PCAWG and HMF samples (Table S</w:t>
      </w:r>
      <w:r>
        <w:rPr>
          <w:rFonts w:hint="eastAsia"/>
        </w:rPr>
        <w:t>2&amp;S3</w:t>
      </w:r>
      <w:r>
        <w:t xml:space="preserve">). Correlation analysis revealed that 89-type signatures can distinguish more nuanced mutational processes—showing distinct correlation patterns </w:t>
      </w:r>
      <w:r>
        <w:rPr>
          <w:rFonts w:hint="eastAsia"/>
        </w:rPr>
        <w:t>with SBS signatures</w:t>
      </w:r>
      <w:r>
        <w:t xml:space="preserve">—highlighting the greater resolution and specificity provided by the 89-type taxonomy compared to the 83-type </w:t>
      </w:r>
      <w:r>
        <w:lastRenderedPageBreak/>
        <w:t xml:space="preserve">classification scheme. Unsupervised hierarchical clustering (see Methods) grouped mutational signatures into distinct biological modules. The APOBEC cluster (SBS2 and SBS13) showed moderate correlations with </w:t>
      </w:r>
      <w:r>
        <w:rPr>
          <w:shd w:val="clear" w:color="auto" w:fill="FFFF00"/>
        </w:rPr>
        <w:t>InsDelx24b/</w:t>
      </w:r>
      <w:proofErr w:type="spellStart"/>
      <w:r>
        <w:rPr>
          <w:shd w:val="clear" w:color="auto" w:fill="FFFF00"/>
        </w:rPr>
        <w:t>InsDel_A</w:t>
      </w:r>
      <w:proofErr w:type="spellEnd"/>
      <w:r>
        <w:rPr>
          <w:shd w:val="clear" w:color="auto" w:fill="FFFF00"/>
        </w:rPr>
        <w:t>β</w:t>
      </w:r>
      <w:r>
        <w:t xml:space="preserve"> and InsDel5b. The homologous recombination deficiency (</w:t>
      </w:r>
      <w:proofErr w:type="spellStart"/>
      <w:r>
        <w:t>dHR</w:t>
      </w:r>
      <w:proofErr w:type="spellEnd"/>
      <w:r>
        <w:t>) cluster (SBS3 and SBS8) exhibited strong associations with C_ID6 and InsDel6 (Figure 5, “HR defects”). UV exposure-related signatures (SBS7a, C_ID13, and InsDel13) also formed a distinct group. The “</w:t>
      </w:r>
      <w:r>
        <w:rPr>
          <w:rFonts w:hint="eastAsia"/>
        </w:rPr>
        <w:t>Liver</w:t>
      </w:r>
      <w: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t xml:space="preserve">Notably, a strong correlation network was observed among mismatch repair (MMR) deficiency signatures, specifically linking SBS6, SBS26, SBS44, and a range of indel signatures including C_ID2, InsDel2b, InsDel2c, C_ID7, </w:t>
      </w:r>
      <w:r>
        <w:rPr>
          <w:shd w:val="clear" w:color="auto" w:fill="FFFF00"/>
        </w:rPr>
        <w:t>Hx_ID33/ID_J</w:t>
      </w:r>
      <w:r>
        <w:t xml:space="preserve">, </w:t>
      </w:r>
      <w:r>
        <w:rPr>
          <w:shd w:val="clear" w:color="auto" w:fill="FFFF00"/>
        </w:rPr>
        <w:t>InsDelx33&lt;fix&gt;&lt;fix&gt;</w:t>
      </w:r>
      <w:r>
        <w:t xml:space="preserve">, Hx_ID34/ID_K, </w:t>
      </w:r>
      <w:r>
        <w:rPr>
          <w:shd w:val="clear" w:color="auto" w:fill="FFFF00"/>
        </w:rPr>
        <w:t>Hx_ID37/ID_N</w:t>
      </w:r>
      <w:r>
        <w:t>, Hx_ID38/ID_O, and InsDelx38/</w:t>
      </w:r>
      <w:proofErr w:type="spellStart"/>
      <w:r>
        <w:t>InsDel_O</w:t>
      </w:r>
      <w:proofErr w:type="spellEnd"/>
      <w:r>
        <w:t xml:space="preserve"> (Figure 5, “MMR defects”).</w:t>
      </w:r>
      <w:r>
        <w:rPr>
          <w:rFonts w:hint="eastAsia"/>
        </w:rPr>
        <w:t xml:space="preserve"> </w:t>
      </w:r>
      <w: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t>“Gastrointestinal</w:t>
      </w:r>
      <w:r>
        <w:rPr>
          <w:rFonts w:hint="eastAsia"/>
        </w:rPr>
        <w:t>-</w:t>
      </w:r>
      <w:r>
        <w:t>Reactive Oxygen Species</w:t>
      </w:r>
      <w:r>
        <w:rPr>
          <w:rFonts w:hint="eastAsia"/>
        </w:rPr>
        <w:t xml:space="preserve">) </w:t>
      </w:r>
      <w:r>
        <w:t xml:space="preserve">cluster, while InsDel1c was more specifically associated with SBS44. InsDel1d showed moderate correlations with SBS9, SBS17, and SBS28, which are </w:t>
      </w:r>
      <w:r>
        <w:rPr>
          <w:rFonts w:hint="eastAsia"/>
        </w:rPr>
        <w:t xml:space="preserve">predominantly </w:t>
      </w:r>
      <w:r>
        <w:t>characterized by T&gt;C and T&gt;G substitutions.</w:t>
      </w:r>
    </w:p>
    <w:p w14:paraId="154601E5" w14:textId="77777777" w:rsidR="00452489" w:rsidRDefault="00000000">
      <w:r>
        <w:lastRenderedPageBreak/>
        <w:t xml:space="preserve">These correlation profiles also offer insights into the potential etiologies of previously uncharacterized SBS signatures. For example, SBS92 demonstrated a correlation profile highly </w:t>
      </w:r>
      <w:proofErr w:type="gramStart"/>
      <w:r>
        <w:t>similar to</w:t>
      </w:r>
      <w:proofErr w:type="gramEnd"/>
      <w:r>
        <w:t xml:space="preserve">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t>), SBS88 (colibactin exposure), and SBS93—we found that C_ID14, C_ID18, InsDel18, and Hx_ID27/ID_D are more strongly correlated with signatures frequently observed in the GI tract. In contrast, C_ID1, C_ID2, and InsDel2a showed stronger correlations with SBS1 and SBS17, indicative of ROS-associated mutagenic processes (Figure 5, “GI-ROS”).</w:t>
      </w:r>
    </w:p>
    <w:p w14:paraId="39C3729A" w14:textId="77777777" w:rsidR="00452489" w:rsidRDefault="00000000">
      <w:pPr>
        <w:pStyle w:val="Heading2"/>
      </w:pPr>
      <w:r>
        <w:rPr>
          <w:rFonts w:hint="eastAsia"/>
        </w:rPr>
        <w:t>Topography of indel mutational signatures</w:t>
      </w:r>
    </w:p>
    <w:p w14:paraId="1A105191" w14:textId="77777777" w:rsidR="00452489" w:rsidRDefault="00000000">
      <w:r>
        <w:t xml:space="preserve">We evaluated the interplay between </w:t>
      </w:r>
      <w:proofErr w:type="gramStart"/>
      <w:r>
        <w:t>our the</w:t>
      </w:r>
      <w:proofErr w:type="gramEnd"/>
      <w:r>
        <w:t xml:space="preserv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 xml:space="preserve">Transcription strand asymmetries were shown in 20 out of 33 83-type signatures (Figures </w:t>
      </w:r>
      <w:r>
        <w:rPr>
          <w:rFonts w:hint="eastAsia"/>
        </w:rPr>
        <w:t>6A and S4C</w:t>
      </w:r>
      <w:r>
        <w:t xml:space="preserve">, Table </w:t>
      </w:r>
      <w:r>
        <w:rPr>
          <w:rFonts w:hint="eastAsia"/>
        </w:rPr>
        <w:t>S4</w:t>
      </w:r>
      <w:r>
        <w:t>). Signatures attributed to exogenous mutational processes, such as C_ID3 (tobacco smoking exposure), C_ID14 (</w:t>
      </w:r>
      <w:r>
        <w:rPr>
          <w:shd w:val="clear" w:color="auto" w:fill="FFFF00"/>
        </w:rPr>
        <w:t>GI&lt;huh?&gt;</w:t>
      </w:r>
      <w:r>
        <w:t xml:space="preserve">-platinum treatment associated)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t>
      </w:r>
      <w:proofErr w:type="gramStart"/>
      <w:r>
        <w:t>was</w:t>
      </w:r>
      <w:proofErr w:type="gramEnd"/>
      <w:r>
        <w:t xml:space="preserve"> observed </w:t>
      </w:r>
      <w:r>
        <w:lastRenderedPageBreak/>
        <w:t xml:space="preserve">for C_ID1 (slippage during DNA replication) and C_ID5 (clock-like signature), while enriched mutations on the transcribed strand </w:t>
      </w:r>
      <w:proofErr w:type="gramStart"/>
      <w:r>
        <w:t>was</w:t>
      </w:r>
      <w:proofErr w:type="gramEnd"/>
      <w:r>
        <w:t xml:space="preserve"> observed for </w:t>
      </w:r>
      <w:r>
        <w:rPr>
          <w:rFonts w:eastAsia="宋体" w:hint="eastAsia"/>
          <w:shd w:val="clear" w:color="auto" w:fill="FFFF00"/>
        </w:rPr>
        <w:t>ID_F</w:t>
      </w:r>
      <w:r>
        <w:rPr>
          <w:shd w:val="clear" w:color="auto" w:fill="FFFF00"/>
        </w:rPr>
        <w:t xml:space="preserve"> (TOP1-mediated mutagenesis). Interestingly, 4 defective MMR signatures also showed tran</w:t>
      </w:r>
      <w:r>
        <w:t>scription strand asymmetries in different directions, with two of them (</w:t>
      </w:r>
      <w:r>
        <w:rPr>
          <w:rFonts w:eastAsia="宋体" w:hint="eastAsia"/>
        </w:rPr>
        <w:t>ID_J and ID_N</w:t>
      </w:r>
      <w:r>
        <w:t xml:space="preserve">) having enriched mutations on the un-transcribed strand, and two of them (C_ID7 and </w:t>
      </w:r>
      <w:r>
        <w:rPr>
          <w:rFonts w:eastAsia="宋体" w:hint="eastAsia"/>
        </w:rPr>
        <w:t>ID_K</w:t>
      </w:r>
      <w:r>
        <w:t>) having enriched mutations on the transcribed strand. Replication strand asymmetries were observed in 18 out of 33 83</w:t>
      </w:r>
      <w:r>
        <w:rPr>
          <w:rFonts w:hint="eastAsia"/>
        </w:rPr>
        <w:t>-</w:t>
      </w:r>
      <w:r>
        <w:t xml:space="preserve">type signatures (Figure </w:t>
      </w:r>
      <w:r>
        <w:rPr>
          <w:rFonts w:hint="eastAsia"/>
        </w:rPr>
        <w:t>6B &amp; S4B</w:t>
      </w:r>
      <w:r>
        <w:t xml:space="preserve">, Table </w:t>
      </w:r>
      <w:r>
        <w:rPr>
          <w:rFonts w:hint="eastAsia"/>
        </w:rPr>
        <w:t>S4</w:t>
      </w:r>
      <w:r>
        <w:t xml:space="preserve">). </w:t>
      </w:r>
      <w:proofErr w:type="gramStart"/>
      <w:r>
        <w:t>Similar to</w:t>
      </w:r>
      <w:proofErr w:type="gramEnd"/>
      <w:r>
        <w:t xml:space="preserve">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t xml:space="preserve">) or on the lagging strand (C_ID7 and </w:t>
      </w:r>
      <w:r>
        <w:rPr>
          <w:rFonts w:eastAsia="宋体" w:hint="eastAsia"/>
        </w:rPr>
        <w:t>ID_J</w:t>
      </w:r>
      <w:r>
        <w:t>).</w:t>
      </w:r>
    </w:p>
    <w:p w14:paraId="7F15F66C" w14:textId="77777777" w:rsidR="00452489" w:rsidRDefault="00000000">
      <w:r>
        <w:t>We also examined the mutation enrichment of 83-type signatures in genic and intergenic regions</w:t>
      </w:r>
      <w:r>
        <w:rPr>
          <w:rFonts w:hint="eastAsia"/>
        </w:rPr>
        <w:t xml:space="preserve"> (Figure S4A)</w:t>
      </w:r>
      <w:r>
        <w:t>. Most signatures showed mutation bias towards intergenic regions, while 8 signatures showed enrichment in genic regions</w:t>
      </w:r>
      <w:r>
        <w:rPr>
          <w:rFonts w:hint="eastAsia"/>
        </w:rPr>
        <w:t xml:space="preserve"> (</w:t>
      </w:r>
      <w:r>
        <w:t xml:space="preserve">Figure </w:t>
      </w:r>
      <w:r>
        <w:rPr>
          <w:rFonts w:hint="eastAsia"/>
        </w:rPr>
        <w:t>6C)</w:t>
      </w:r>
      <w:r>
        <w:t xml:space="preserve">. Among the 8 signatures, 5 of them were associated with defective endogenous mutational processes, including C_ID17(TOP2A K743N mediated mutagenesis), </w:t>
      </w:r>
      <w:r>
        <w:rPr>
          <w:rFonts w:eastAsia="宋体" w:hint="eastAsia"/>
        </w:rPr>
        <w:t xml:space="preserve">ID_F </w:t>
      </w:r>
      <w:r>
        <w:t xml:space="preserve">(TOP1-mediated mutagenesis), </w:t>
      </w:r>
      <w:r>
        <w:rPr>
          <w:rFonts w:hint="eastAsia"/>
        </w:rPr>
        <w:t>a</w:t>
      </w:r>
      <w:r>
        <w:t xml:space="preserve">nd 3 defective MMR signatures (C_ID7, </w:t>
      </w:r>
      <w:r>
        <w:rPr>
          <w:rFonts w:eastAsia="宋体" w:hint="eastAsia"/>
        </w:rPr>
        <w:t>ID_J</w:t>
      </w:r>
      <w:r>
        <w:t xml:space="preserve"> and </w:t>
      </w:r>
      <w:r>
        <w:rPr>
          <w:rFonts w:eastAsia="宋体" w:hint="eastAsia"/>
        </w:rPr>
        <w:t>ID_N</w:t>
      </w:r>
      <w:r>
        <w:t xml:space="preserve">). Another 3 signatures with mutation enriched in genic regions were of unknown etiology (C_ID10, </w:t>
      </w:r>
      <w:r>
        <w:rPr>
          <w:rFonts w:eastAsia="宋体" w:hint="eastAsia"/>
        </w:rPr>
        <w:t>ID_G</w:t>
      </w:r>
      <w:r>
        <w:t xml:space="preserve">, </w:t>
      </w:r>
      <w:r>
        <w:rPr>
          <w:rFonts w:eastAsia="宋体" w:hint="eastAsia"/>
        </w:rPr>
        <w:t>ID_H</w:t>
      </w:r>
      <w:r>
        <w:t>).</w:t>
      </w:r>
    </w:p>
    <w:p w14:paraId="089B89C5" w14:textId="77777777" w:rsidR="00452489" w:rsidRDefault="00000000">
      <w:r>
        <w:t>The effect of DNA replication timing was also observed in many 83-type signatures</w:t>
      </w:r>
      <w:r>
        <w:rPr>
          <w:rFonts w:hint="eastAsia"/>
        </w:rPr>
        <w:t xml:space="preserve"> (Figure 6D &amp; S5)</w:t>
      </w:r>
      <w: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w:t>
      </w:r>
      <w:proofErr w:type="gramStart"/>
      <w:r>
        <w:t>the majority of</w:t>
      </w:r>
      <w:proofErr w:type="gramEnd"/>
      <w:r>
        <w:t xml:space="preserve"> cancers presenting this signature, including C_ID1 (Slippage during </w:t>
      </w:r>
      <w:r>
        <w:lastRenderedPageBreak/>
        <w:t xml:space="preserve">DNA replication), C_ID5 (Clock-like signature), C_ID13 (Ultraviolet light exposure), C_ID18 (Colibactin exposure). Interestingly, </w:t>
      </w:r>
      <w:proofErr w:type="gramStart"/>
      <w:r>
        <w:t>Several</w:t>
      </w:r>
      <w:proofErr w:type="gramEnd"/>
      <w:r>
        <w:t xml:space="preserve"> signatures showed cancer-specific enrichment in replication timing, especially for defective MMR signatures. In the 5 defective MMR signatures, C_ID7, </w:t>
      </w:r>
      <w:r>
        <w:rPr>
          <w:rFonts w:eastAsia="宋体" w:hint="eastAsia"/>
        </w:rPr>
        <w:t>ID_J</w:t>
      </w:r>
      <w:r>
        <w:t xml:space="preserve"> and </w:t>
      </w:r>
      <w:r>
        <w:rPr>
          <w:rFonts w:eastAsia="宋体" w:hint="eastAsia"/>
        </w:rPr>
        <w:t>ID_K</w:t>
      </w:r>
      <w:r>
        <w:t xml:space="preserve"> showed enriched mutations in early replication regions in breast cancer, while </w:t>
      </w:r>
      <w:r>
        <w:rPr>
          <w:rFonts w:eastAsia="宋体" w:hint="eastAsia"/>
        </w:rPr>
        <w:t>ID_N</w:t>
      </w:r>
      <w:r>
        <w:t xml:space="preserve"> and </w:t>
      </w:r>
      <w:r>
        <w:rPr>
          <w:rFonts w:eastAsia="宋体" w:hint="eastAsia"/>
        </w:rPr>
        <w:t>ID_O</w:t>
      </w:r>
      <w:r>
        <w:t xml:space="preserve"> showed this enrichment in colon cancer and stomach cancer, respectively. For 89-type signatures, we conducted similar analysis without simulation data. </w:t>
      </w:r>
      <w:proofErr w:type="gramStart"/>
      <w:r>
        <w:t>The majority of</w:t>
      </w:r>
      <w:proofErr w:type="gramEnd"/>
      <w:r>
        <w:t xml:space="preserve"> signatures showed enrichment in late-replicating regions, which is consistent with what we observed 83-type signatures (Figure SX). </w:t>
      </w:r>
      <w:proofErr w:type="spellStart"/>
      <w:r>
        <w:t>InsDel</w:t>
      </w:r>
      <w:r>
        <w:rPr>
          <w:rFonts w:eastAsia="宋体" w:hint="eastAsia"/>
        </w:rPr>
        <w:t>_O</w:t>
      </w:r>
      <w:proofErr w:type="spellEnd"/>
      <w:r>
        <w:t>, the corresponding signature of C_ID18, showed the same stomach cancer specific enrichment in early replication regions, which strengthen the correlation between 83-type and 89-type signatures.</w:t>
      </w:r>
    </w:p>
    <w:p w14:paraId="5200F9D8" w14:textId="77777777" w:rsidR="00452489" w:rsidRDefault="00000000">
      <w:pPr>
        <w:pStyle w:val="Heading2"/>
      </w:pPr>
      <w:r>
        <w:t>Novel Signatures</w:t>
      </w:r>
    </w:p>
    <w:p w14:paraId="0A7DC4EA" w14:textId="77777777" w:rsidR="00452489" w:rsidRDefault="00000000">
      <w:r>
        <w:t>M</w:t>
      </w:r>
      <w:r>
        <w:rPr>
          <w:rFonts w:hint="eastAsia"/>
        </w:rPr>
        <w:t>icrosatellite Instability associated</w:t>
      </w:r>
      <w:r>
        <w:t xml:space="preserve"> signatures in both the 83-type and 89-type classifications</w:t>
      </w:r>
    </w:p>
    <w:p w14:paraId="15F7F8A3" w14:textId="77777777" w:rsidR="00452489" w:rsidRDefault="00000000">
      <w:r>
        <w:rPr>
          <w:shd w:val="clear" w:color="auto" w:fill="FFFF00"/>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t xml:space="preserve"> Although MSI status was provided in the PCAWG and HMF datasets</w:t>
      </w:r>
      <w:r>
        <w:rPr>
          <w:rFonts w:hint="eastAsia"/>
        </w:rPr>
        <w:t xml:space="preserve"> </w:t>
      </w:r>
      <w:r>
        <w:rPr>
          <w:rFonts w:hint="eastAsia"/>
        </w:rPr>
        <w:fldChar w:fldCharType="begin"/>
      </w:r>
      <w:r>
        <w:rPr>
          <w:rFonts w:hint="eastAsia"/>
        </w:rPr>
        <w:instrText>ADDIN ZOTERO_ITEM CSL_CITATION {"citationID":"e2clggfU","properties":{"formattedCitation":"(Mart\\uc0\\u237{}nez-Jim\\uc0\\u233{}nez et al. 2023; Bavi et al. 2020)","plainCitation":"(Mart</w:instrText>
      </w:r>
      <w:r>
        <w:rPr>
          <w:rFonts w:hint="eastAsia"/>
        </w:rPr>
        <w:instrText>í</w:instrText>
      </w:r>
      <w:r>
        <w:rPr>
          <w:rFonts w:hint="eastAsia"/>
        </w:rPr>
        <w:instrText>nez-Jim</w:instrText>
      </w:r>
      <w:r>
        <w:rPr>
          <w:rFonts w:hint="eastAsia"/>
        </w:rPr>
        <w:instrText>é</w:instrText>
      </w:r>
      <w:r>
        <w:rPr>
          <w:rFonts w:hint="eastAsia"/>
        </w:rPr>
        <w:instrText>nez et al. 2023; Bavi et al. 2020)","noteIndex":0},"citationItems":[{"id":"LB8OR9DJ/hfxcak8g","uris":["http://zotero.org/users/14858941/items/7KY3QWQK"],"itemData":{"id":912,"type":"article-journal","abstract":"Abstract\n            \n              Metastatic cancer remains an almost inevitably lethal disease\n              1</w:instrText>
      </w:r>
      <w:r>
        <w:rPr>
          <w:rFonts w:hint="eastAsia"/>
        </w:rPr>
        <w:instrText>–</w:instrText>
      </w:r>
      <w:r>
        <w:rPr>
          <w:rFonts w:hint="eastAsia"/>
        </w:rPr>
        <w:instrText>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w:instrText>
      </w:r>
      <w:r>
        <w:rPr>
          <w:rFonts w:hint="eastAsia"/>
        </w:rPr>
        <w:instrText>í</w:instrText>
      </w:r>
      <w:r>
        <w:rPr>
          <w:rFonts w:hint="eastAsia"/>
        </w:rPr>
        <w:instrText>nez-Jim</w:instrText>
      </w:r>
      <w:r>
        <w:rPr>
          <w:rFonts w:hint="eastAsia"/>
        </w:rPr>
        <w:instrText>é</w:instrText>
      </w:r>
      <w:r>
        <w:rPr>
          <w:rFonts w:hint="eastAsia"/>
        </w:rPr>
        <w:instrText>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w:instrText>
      </w:r>
      <w:r>
        <w:rPr>
          <w:rFonts w:hint="eastAsia"/>
        </w:rPr>
        <w:instrText>–</w:instrText>
      </w:r>
      <w:r>
        <w:rPr>
          <w:rFonts w:hint="eastAsia"/>
        </w:rPr>
        <w:instrText>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w:instrText>
      </w:r>
      <w:r>
        <w:rPr>
          <w:rFonts w:hint="eastAsia"/>
        </w:rPr>
        <w:instrText>–</w:instrText>
      </w:r>
      <w:r>
        <w:rPr>
          <w:rFonts w:hint="eastAsia"/>
        </w:rPr>
        <w:instrText>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w:instrText>
      </w:r>
      <w:r>
        <w:rPr>
          <w:rFonts w:hint="eastAsia"/>
        </w:rPr>
        <w:instrText>–</w:instrText>
      </w:r>
      <w:r>
        <w:rPr>
          <w:rFonts w:hint="eastAsia"/>
        </w:rPr>
        <w:instrText>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w:instrText>
      </w:r>
      <w:r>
        <w:rPr>
          <w:rFonts w:hint="eastAsia"/>
        </w:rPr>
        <w:instrText>ù</w:instrText>
      </w:r>
      <w:r>
        <w:rPr>
          <w:rFonts w:hint="eastAsia"/>
        </w:rPr>
        <w:instrText>","given":"Cinzia"},{"family":"Cao","given":"Shaolong"},{"family":"Carey","given":"Thomas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w:instrText>
      </w:r>
      <w:r>
        <w:rPr>
          <w:rFonts w:hint="eastAsia"/>
        </w:rPr>
        <w:instrText>é</w:instrText>
      </w:r>
      <w:r>
        <w:rPr>
          <w:rFonts w:hint="eastAsia"/>
        </w:rPr>
        <w:instrText>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w:instrText>
      </w:r>
      <w:r>
        <w:rPr>
          <w:rFonts w:hint="eastAsia"/>
        </w:rPr>
        <w:instrText>é</w:instrText>
      </w:r>
      <w:r>
        <w:rPr>
          <w:rFonts w:hint="eastAsia"/>
        </w:rPr>
        <w:instrText>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w:instrText>
      </w:r>
      <w:r>
        <w:rPr>
          <w:rFonts w:hint="eastAsia"/>
        </w:rPr>
        <w:instrText>ğ</w:instrText>
      </w:r>
      <w:r>
        <w:rPr>
          <w:rFonts w:hint="eastAsia"/>
        </w:rPr>
        <w:instrText>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w:instrText>
      </w:r>
      <w:r>
        <w:rPr>
          <w:rFonts w:hint="eastAsia"/>
        </w:rPr>
        <w:instrText>ü</w:instrText>
      </w:r>
      <w:r>
        <w:rPr>
          <w:rFonts w:hint="eastAsia"/>
        </w:rPr>
        <w:instrText>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w:instrText>
      </w:r>
      <w:r>
        <w:rPr>
          <w:rFonts w:hint="eastAsia"/>
        </w:rPr>
        <w:instrText>é</w:instrText>
      </w:r>
      <w:r>
        <w:rPr>
          <w:rFonts w:hint="eastAsia"/>
        </w:rPr>
        <w:instrText xml:space="preserve"> Mar</w:instrText>
      </w:r>
      <w:r>
        <w:rPr>
          <w:rFonts w:hint="eastAsia"/>
        </w:rPr>
        <w:instrText>í</w:instrText>
      </w:r>
      <w:r>
        <w:rPr>
          <w:rFonts w:hint="eastAsia"/>
        </w:rPr>
        <w:instrText>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w:instrText>
      </w:r>
      <w:r>
        <w:rPr>
          <w:rFonts w:hint="eastAsia"/>
        </w:rPr>
        <w:instrText>ü</w:instrText>
      </w:r>
      <w:r>
        <w:rPr>
          <w:rFonts w:hint="eastAsia"/>
        </w:rPr>
        <w:instrText>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w:instrText>
      </w:r>
      <w:r>
        <w:rPr>
          <w:rFonts w:hint="eastAsia"/>
        </w:rPr>
        <w:instrText>ć</w:instrText>
      </w:r>
      <w:r>
        <w:rPr>
          <w:rFonts w:hint="eastAsia"/>
        </w:rPr>
        <w:instrText>","given":"Rosa"},{"family":"Karsch","given":"Dennis"},{"family":"Kasaian","given":"Katayoon"},{"family":"Kassahn","given":"Karin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w:instrText>
      </w:r>
      <w:r>
        <w:rPr>
          <w:rFonts w:hint="eastAsia"/>
        </w:rPr>
        <w:instrText>ü</w:instrText>
      </w:r>
      <w:r>
        <w:rPr>
          <w:rFonts w:hint="eastAsia"/>
        </w:rPr>
        <w:instrText>bler","given":"Kirsten"},{"family":"K</w:instrText>
      </w:r>
      <w:r>
        <w:rPr>
          <w:rFonts w:hint="eastAsia"/>
        </w:rPr>
        <w:instrText>ü</w:instrText>
      </w:r>
      <w:r>
        <w:rPr>
          <w:rFonts w:hint="eastAsia"/>
        </w:rPr>
        <w:instrText>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w:instrText>
      </w:r>
      <w:r>
        <w:rPr>
          <w:rFonts w:hint="eastAsia"/>
        </w:rPr>
        <w:instrText>ó</w:instrText>
      </w:r>
      <w:r>
        <w:rPr>
          <w:rFonts w:hint="eastAsia"/>
        </w:rPr>
        <w:instrText>s","given":"Andr</w:instrText>
      </w:r>
      <w:r>
        <w:rPr>
          <w:rFonts w:hint="eastAsia"/>
        </w:rPr>
        <w:instrText>é</w:instrText>
      </w:r>
      <w:r>
        <w:rPr>
          <w:rFonts w:hint="eastAsia"/>
        </w:rPr>
        <w:instrText>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w:instrText>
      </w:r>
      <w:r>
        <w:rPr>
          <w:rFonts w:hint="eastAsia"/>
        </w:rPr>
        <w:instrText>ó</w:instrText>
      </w:r>
      <w:r>
        <w:rPr>
          <w:rFonts w:hint="eastAsia"/>
        </w:rPr>
        <w:instrText>pez","given":"Cristina"},{"family":"L</w:instrText>
      </w:r>
      <w:r>
        <w:rPr>
          <w:rFonts w:hint="eastAsia"/>
        </w:rPr>
        <w:instrText>ó</w:instrText>
      </w:r>
      <w:r>
        <w:rPr>
          <w:rFonts w:hint="eastAsia"/>
        </w:rPr>
        <w:instrText>pez-Ot</w:instrText>
      </w:r>
      <w:r>
        <w:rPr>
          <w:rFonts w:hint="eastAsia"/>
        </w:rPr>
        <w:instrText>í</w:instrText>
      </w:r>
      <w:r>
        <w:rPr>
          <w:rFonts w:hint="eastAsia"/>
        </w:rPr>
        <w:instrText>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w:instrText>
      </w:r>
      <w:r>
        <w:rPr>
          <w:rFonts w:hint="eastAsia"/>
        </w:rPr>
        <w:instrText>á</w:instrText>
      </w:r>
      <w:r>
        <w:rPr>
          <w:rFonts w:hint="eastAsia"/>
        </w:rPr>
        <w:instrText>r-G</w:instrText>
      </w:r>
      <w:r>
        <w:rPr>
          <w:rFonts w:hint="eastAsia"/>
        </w:rPr>
        <w:instrText>á</w:instrText>
      </w:r>
      <w:r>
        <w:rPr>
          <w:rFonts w:hint="eastAsia"/>
        </w:rPr>
        <w:instrText>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w:instrText>
      </w:r>
      <w:r>
        <w:rPr>
          <w:rFonts w:hint="eastAsia"/>
        </w:rPr>
        <w:instrText>’</w:instrText>
      </w:r>
      <w:r>
        <w:rPr>
          <w:rFonts w:hint="eastAsia"/>
        </w:rPr>
        <w:instrText>Connor","given":"Brian D."},{"family":"O</w:instrText>
      </w:r>
      <w:r>
        <w:rPr>
          <w:rFonts w:hint="eastAsia"/>
        </w:rPr>
        <w:instrText>’</w:instrText>
      </w:r>
      <w:r>
        <w:rPr>
          <w:rFonts w:hint="eastAsia"/>
        </w:rPr>
        <w:instrText>Donnell","given":"Peter"},{"family":"O</w:instrText>
      </w:r>
      <w:r>
        <w:rPr>
          <w:rFonts w:hint="eastAsia"/>
        </w:rPr>
        <w:instrText>’</w:instrText>
      </w:r>
      <w:r>
        <w:rPr>
          <w:rFonts w:hint="eastAsia"/>
        </w:rPr>
        <w:instrText>Donovan","given":"Maria"},{"family":"O</w:instrText>
      </w:r>
      <w:r>
        <w:rPr>
          <w:rFonts w:hint="eastAsia"/>
        </w:rPr>
        <w:instrText>’</w:instrText>
      </w:r>
      <w:r>
        <w:rPr>
          <w:rFonts w:hint="eastAsia"/>
        </w:rPr>
        <w:instrText>Meara","given":"Sarah"},{"family":"O</w:instrText>
      </w:r>
      <w:r>
        <w:rPr>
          <w:rFonts w:hint="eastAsia"/>
        </w:rPr>
        <w:instrText>’</w:instrText>
      </w:r>
      <w:r>
        <w:rPr>
          <w:rFonts w:hint="eastAsia"/>
        </w:rPr>
        <w:instrText>Neill","given":"Brian Patrick"},{"family":"O</w:instrText>
      </w:r>
      <w:r>
        <w:rPr>
          <w:rFonts w:hint="eastAsia"/>
        </w:rPr>
        <w:instrText>’</w:instrText>
      </w:r>
      <w:r>
        <w:rPr>
          <w:rFonts w:hint="eastAsia"/>
        </w:rPr>
        <w:instrText>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w:instrText>
      </w:r>
      <w:r>
        <w:rPr>
          <w:rFonts w:hint="eastAsia"/>
        </w:rPr>
        <w:instrText>’</w:instrText>
      </w:r>
      <w:r>
        <w:rPr>
          <w:rFonts w:hint="eastAsia"/>
        </w:rPr>
        <w:instrText>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w:instrText>
      </w:r>
      <w:r>
        <w:rPr>
          <w:rFonts w:hint="eastAsia"/>
        </w:rPr>
        <w:instrText>é</w:instrText>
      </w:r>
      <w:r>
        <w:rPr>
          <w:rFonts w:hint="eastAsia"/>
        </w:rPr>
        <w:instrText>","given":"Iris"},{"family":"Pearson","given":"John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w:instrText>
      </w:r>
      <w:r>
        <w:rPr>
          <w:rFonts w:hint="eastAsia"/>
        </w:rPr>
        <w:instrText>á</w:instrText>
      </w:r>
      <w:r>
        <w:rPr>
          <w:rFonts w:hint="eastAsia"/>
        </w:rPr>
        <w:instrText>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w:instrText>
      </w:r>
      <w:r>
        <w:rPr>
          <w:rFonts w:hint="eastAsia"/>
        </w:rPr>
        <w:instrText>ò</w:instrText>
      </w:r>
      <w:r>
        <w:rPr>
          <w:rFonts w:hint="eastAsia"/>
        </w:rPr>
        <w:instrText>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w:instrText>
      </w:r>
      <w:r>
        <w:rPr>
          <w:rFonts w:hint="eastAsia"/>
        </w:rPr>
        <w:instrText>ü</w:instrText>
      </w:r>
      <w:r>
        <w:rPr>
          <w:rFonts w:hint="eastAsia"/>
        </w:rPr>
        <w:instrText>ri"},{"family":"Reis-Filho","given":"Jorge"},{"family":"Reuter","given":"Victor"},{"family":"Reyes-Salazar","given":"Iker"},{"family":"Reyna","given":"Matthew A."},{"family":"Reynolds","given":"Sheila M."},{"family":"Rheinbay","given":"Esther"},{"family":"Riazalhosseini","given":"Yasser"},{"family":"Richardson","given":"Andrea L."},{"family":"Richter","given":"Julia"},{"family":"Ringel","given":"Matthew"},{"family":"Ringn</w:instrText>
      </w:r>
      <w:r>
        <w:rPr>
          <w:rFonts w:hint="eastAsia"/>
        </w:rPr>
        <w:instrText>é</w:instrText>
      </w:r>
      <w:r>
        <w:rPr>
          <w:rFonts w:hint="eastAsia"/>
        </w:rPr>
        <w:instrText>r","given":"Markus"},{"family":"Rino","given":"Yasushi"},{"family":"Rippe","given":"Karsten"},{"family":"Roach","given":"Jeffrey"},{"family":"Roberts","given":"Lewis R."},{"family":"Roberts","given":"Nicola D."},{"family":"Roberts","given":"Steven A."},{"family":"Robertson","given":"A. Gordon"},{"family":"Robertson","given":"Alan J."},{"family":"Rodriguez","given":"Javier Bartolom</w:instrText>
      </w:r>
      <w:r>
        <w:rPr>
          <w:rFonts w:hint="eastAsia"/>
        </w:rPr>
        <w:instrText>é</w:instrText>
      </w:r>
      <w:r>
        <w:rPr>
          <w:rFonts w:hint="eastAsia"/>
        </w:rPr>
        <w:instrText>"},{"family":"Rodriguez-Martin","given":"Bernardo"},{"family":"Rodr</w:instrText>
      </w:r>
      <w:r>
        <w:rPr>
          <w:rFonts w:hint="eastAsia"/>
        </w:rPr>
        <w:instrText>í</w:instrText>
      </w:r>
      <w:r>
        <w:rPr>
          <w:rFonts w:hint="eastAsia"/>
        </w:rPr>
        <w:instrText>guez-Gonz</w:instrText>
      </w:r>
      <w:r>
        <w:rPr>
          <w:rFonts w:hint="eastAsia"/>
        </w:rPr>
        <w:instrText>á</w:instrText>
      </w:r>
      <w:r>
        <w:rPr>
          <w:rFonts w:hint="eastAsia"/>
        </w:rPr>
        <w:instrText>lez","given":"F. Germ</w:instrText>
      </w:r>
      <w:r>
        <w:rPr>
          <w:rFonts w:hint="eastAsia"/>
        </w:rPr>
        <w:instrText>á</w:instrText>
      </w:r>
      <w:r>
        <w:rPr>
          <w:rFonts w:hint="eastAsia"/>
        </w:rPr>
        <w:instrText>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w:instrText>
      </w:r>
      <w:r>
        <w:rPr>
          <w:rFonts w:hint="eastAsia"/>
        </w:rPr>
        <w:instrText>á</w:instrText>
      </w:r>
      <w:r>
        <w:rPr>
          <w:rFonts w:hint="eastAsia"/>
        </w:rPr>
        <w:instrText>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w:instrText>
      </w:r>
      <w:r>
        <w:rPr>
          <w:rFonts w:hint="eastAsia"/>
        </w:rPr>
        <w:instrText>ü</w:instrText>
      </w:r>
      <w:r>
        <w:rPr>
          <w:rFonts w:hint="eastAsia"/>
        </w:rPr>
        <w:instrText>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w:instrText>
      </w:r>
      <w:r>
        <w:rPr>
          <w:rFonts w:hint="eastAsia"/>
        </w:rPr>
        <w:instrText>é</w:instrText>
      </w:r>
      <w:r>
        <w:rPr>
          <w:rFonts w:hint="eastAsia"/>
        </w:rPr>
        <w:instrText>","given":"Simon"},{"family":"Taylor","given":"Darrin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w:instrText>
      </w:r>
      <w:r>
        <w:rPr>
          <w:rFonts w:hint="eastAsia"/>
        </w:rPr>
        <w:instrText>é</w:instrText>
      </w:r>
      <w:r>
        <w:rPr>
          <w:rFonts w:hint="eastAsia"/>
        </w:rPr>
        <w:instrText>mi"},{"family":"Tr</w:instrText>
      </w:r>
      <w:r>
        <w:rPr>
          <w:rFonts w:hint="eastAsia"/>
        </w:rPr>
        <w:instrText>ü</w:instrText>
      </w:r>
      <w:r>
        <w:rPr>
          <w:rFonts w:hint="eastAsia"/>
        </w:rPr>
        <w:instrText>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w:instrText>
      </w:r>
      <w:r>
        <w:rPr>
          <w:rFonts w:hint="eastAsia"/>
        </w:rPr>
        <w:instrText>ü</w:instrText>
      </w:r>
      <w:r>
        <w:rPr>
          <w:rFonts w:hint="eastAsia"/>
        </w:rPr>
        <w:instrText>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w:instrText>
      </w:r>
      <w:r>
        <w:rPr>
          <w:rFonts w:hint="eastAsia"/>
        </w:rPr>
        <w:instrText>á</w:instrText>
      </w:r>
      <w:r>
        <w:rPr>
          <w:rFonts w:hint="eastAsia"/>
        </w:rPr>
        <w:instrText>zquez-Garc</w:instrText>
      </w:r>
      <w:r>
        <w:rPr>
          <w:rFonts w:hint="eastAsia"/>
        </w:rPr>
        <w:instrText>í</w:instrText>
      </w:r>
      <w:r>
        <w:rPr>
          <w:rFonts w:hint="eastAsia"/>
        </w:rPr>
        <w:instrText>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w:instrText>
      </w:r>
      <w:r>
        <w:rPr>
          <w:rFonts w:hint="eastAsia"/>
        </w:rPr>
        <w:instrText>’</w:instrText>
      </w:r>
      <w:r>
        <w:rPr>
          <w:rFonts w:hint="eastAsia"/>
        </w:rPr>
        <w:instrText>t"},{"family":"Mering","given":"Christian","non-dropping-particle":"von"}],"issued":{"date-parts":[["2020",2,6]]}}}],"schema":"https://github.com/citation-style-language/schema/raw/master/csl-citation.json"}</w:instrText>
      </w:r>
      <w:r>
        <w:rPr>
          <w:rFonts w:hint="eastAsia"/>
        </w:rPr>
        <w:fldChar w:fldCharType="separate"/>
      </w:r>
      <w:r>
        <w:t>(Martínez-Jiménez et al. 2023; Bavi et al. 2020)</w:t>
      </w:r>
      <w:r>
        <w:rPr>
          <w:rFonts w:hint="eastAsia"/>
        </w:rPr>
        <w:fldChar w:fldCharType="end"/>
      </w:r>
      <w:r>
        <w:t xml:space="preserve">, several samples displaying MSI characteristics—such as high SBS and indel mutations alongside MSI-associated SBS signatures—were classified as MSS. To resolve this discrepancy, we updated the MSI status using </w:t>
      </w:r>
      <w:proofErr w:type="spellStart"/>
      <w:r>
        <w:t>MSISeq</w:t>
      </w:r>
      <w:proofErr w:type="spellEnd"/>
      <w:r>
        <w:t xml:space="preserve">, a software tool designed to identify MSI status based on catalogs of somatic mutations </w:t>
      </w:r>
      <w:r>
        <w:fldChar w:fldCharType="begin"/>
      </w:r>
      <w:r>
        <w:instrText>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fldChar w:fldCharType="separate"/>
      </w:r>
      <w:r>
        <w:t>(Huang et al. 2015)</w:t>
      </w:r>
      <w:r>
        <w:fldChar w:fldCharType="end"/>
      </w:r>
      <w:r>
        <w:t xml:space="preserve">. </w:t>
      </w:r>
      <w:proofErr w:type="spellStart"/>
      <w:r>
        <w:t>MSISeq</w:t>
      </w:r>
      <w:proofErr w:type="spellEnd"/>
      <w:r>
        <w:t xml:space="preserve"> identified an additional </w:t>
      </w:r>
      <w:r>
        <w:rPr>
          <w:rFonts w:hint="eastAsia"/>
        </w:rPr>
        <w:t>98</w:t>
      </w:r>
      <w:r>
        <w:t xml:space="preserve"> MSI tumors beyond the 91 previously reported in the literature</w:t>
      </w:r>
      <w:r>
        <w:rPr>
          <w:rFonts w:hint="eastAsia"/>
        </w:rPr>
        <w:t xml:space="preserve"> (Figure S6A)</w:t>
      </w:r>
      <w:r>
        <w:t xml:space="preserve">. In total, we identified </w:t>
      </w:r>
      <w:r>
        <w:rPr>
          <w:rFonts w:hint="eastAsia"/>
        </w:rPr>
        <w:lastRenderedPageBreak/>
        <w:t>189</w:t>
      </w:r>
      <w:r>
        <w:t xml:space="preserve"> MSI tumors with SBS mutation counts ranging from 10,839 to 2,432,617 and indel mutations ranging from 5,060 to 318,631. For subsequent analyses, we will refer to these </w:t>
      </w:r>
      <w:r>
        <w:rPr>
          <w:rFonts w:hint="eastAsia"/>
        </w:rPr>
        <w:t>189</w:t>
      </w:r>
      <w:r>
        <w:t xml:space="preserve"> tumors as MSI tumors. Notably, these MSI tumors typically exhibit a higher prevalence of deletions compared to insertions (</w:t>
      </w:r>
      <w:r>
        <w:rPr>
          <w:rFonts w:hint="eastAsia"/>
        </w:rPr>
        <w:t>Figure S6B</w:t>
      </w:r>
      <w:r>
        <w:t>), suggesting that defective DNA mismatch repair predominantly leads to nucleotide removal rather than insertions.</w:t>
      </w:r>
    </w:p>
    <w:p w14:paraId="650A3E75" w14:textId="77777777" w:rsidR="00452489" w:rsidRDefault="00000000">
      <w:r>
        <w:t>Leveraging the higher prevalence of MSI tumors in our combined dataset, we identified five 83-type signatures and their six corresponding 89-type signatures associated with MSI: C_ID2 (InsDel2b &amp; InsDel2c</w:t>
      </w:r>
      <w:r>
        <w:rPr>
          <w:rFonts w:hint="eastAsia"/>
        </w:rPr>
        <w:t>, Figure 7A</w:t>
      </w:r>
      <w:r>
        <w:t>), C_ID7 (InsDel7</w:t>
      </w:r>
      <w:r>
        <w:rPr>
          <w:rFonts w:hint="eastAsia"/>
        </w:rPr>
        <w:t>, Figure 7B</w:t>
      </w:r>
      <w:r>
        <w:t xml:space="preserve">), </w:t>
      </w:r>
      <w:r>
        <w:rPr>
          <w:shd w:val="clear" w:color="auto" w:fill="FFFF00"/>
        </w:rPr>
        <w:t>Hx_ID33/ID_J</w:t>
      </w:r>
      <w:r>
        <w:t xml:space="preserve"> and </w:t>
      </w:r>
      <w:r>
        <w:rPr>
          <w:shd w:val="clear" w:color="auto" w:fill="FFFF00"/>
        </w:rPr>
        <w:t>Hx_ID37/ID_N</w:t>
      </w:r>
      <w:r>
        <w:t xml:space="preserve"> (</w:t>
      </w:r>
      <w:r>
        <w:rPr>
          <w:shd w:val="clear" w:color="auto" w:fill="FFFF00"/>
        </w:rPr>
        <w:t>InsDelx33&lt;fix&gt; &lt;</w:t>
      </w:r>
      <w:proofErr w:type="spellStart"/>
      <w:r>
        <w:rPr>
          <w:shd w:val="clear" w:color="auto" w:fill="FFFF00"/>
        </w:rPr>
        <w:t>InsDel_J</w:t>
      </w:r>
      <w:proofErr w:type="spellEnd"/>
      <w:r>
        <w:rPr>
          <w:shd w:val="clear" w:color="auto" w:fill="FFFF00"/>
        </w:rPr>
        <w:t xml:space="preserve"> or </w:t>
      </w:r>
      <w:proofErr w:type="spellStart"/>
      <w:r>
        <w:rPr>
          <w:shd w:val="clear" w:color="auto" w:fill="FFFF00"/>
        </w:rPr>
        <w:t>InsDel_N</w:t>
      </w:r>
      <w:proofErr w:type="spellEnd"/>
      <w:r>
        <w:rPr>
          <w:shd w:val="clear" w:color="auto" w:fill="FFFF00"/>
        </w:rPr>
        <w:t>?&gt;</w:t>
      </w:r>
      <w:r>
        <w:rPr>
          <w:rFonts w:hint="eastAsia"/>
        </w:rPr>
        <w:t>, Figure 7C</w:t>
      </w:r>
      <w:r>
        <w:t xml:space="preserve">), </w:t>
      </w:r>
      <w:r>
        <w:rPr>
          <w:shd w:val="clear" w:color="auto" w:fill="FFFF00"/>
        </w:rPr>
        <w:t>Hx_ID34/ID_K</w:t>
      </w:r>
      <w:r>
        <w:t xml:space="preserve"> </w:t>
      </w:r>
      <w:r>
        <w:rPr>
          <w:shd w:val="clear" w:color="auto" w:fill="FFFF00"/>
        </w:rPr>
        <w:t>(InsxDel34</w:t>
      </w:r>
      <w:r>
        <w:rPr>
          <w:rFonts w:hint="eastAsia"/>
          <w:shd w:val="clear" w:color="auto" w:fill="FFFF00"/>
        </w:rPr>
        <w:t xml:space="preserve">, </w:t>
      </w:r>
      <w:proofErr w:type="spellStart"/>
      <w:r>
        <w:rPr>
          <w:rFonts w:hint="eastAsia"/>
          <w:shd w:val="clear" w:color="auto" w:fill="FFFF00"/>
        </w:rPr>
        <w:t>InsDel_K</w:t>
      </w:r>
      <w:proofErr w:type="spellEnd"/>
      <w:r>
        <w:rPr>
          <w:rFonts w:hint="eastAsia"/>
          <w:shd w:val="clear" w:color="auto" w:fill="FFFF00"/>
        </w:rPr>
        <w:t>α</w:t>
      </w:r>
      <w:r>
        <w:rPr>
          <w:rFonts w:hint="eastAsia"/>
          <w:shd w:val="clear" w:color="auto" w:fill="FFFF00"/>
        </w:rPr>
        <w:t>/</w:t>
      </w:r>
      <w:proofErr w:type="spellStart"/>
      <w:r>
        <w:rPr>
          <w:rFonts w:hint="eastAsia"/>
          <w:shd w:val="clear" w:color="auto" w:fill="FFFF00"/>
        </w:rPr>
        <w:t>InsDel_K</w:t>
      </w:r>
      <w:proofErr w:type="spellEnd"/>
      <w:r>
        <w:rPr>
          <w:rFonts w:hint="eastAsia"/>
          <w:shd w:val="clear" w:color="auto" w:fill="FFFF00"/>
        </w:rPr>
        <w:t>β</w:t>
      </w:r>
      <w:r>
        <w:rPr>
          <w:rFonts w:hint="eastAsia"/>
          <w:shd w:val="clear" w:color="auto" w:fill="FFFF00"/>
        </w:rPr>
        <w:t>?&gt;</w:t>
      </w:r>
      <w:r>
        <w:rPr>
          <w:rFonts w:hint="eastAsia"/>
        </w:rPr>
        <w:t>Figure 7D</w:t>
      </w:r>
      <w:r>
        <w:t xml:space="preserve">), and </w:t>
      </w:r>
      <w:r>
        <w:rPr>
          <w:shd w:val="clear" w:color="auto" w:fill="FFFF00"/>
        </w:rPr>
        <w:t>Hx_ID38/ID_O (InsDelx38/</w:t>
      </w:r>
      <w:proofErr w:type="spellStart"/>
      <w:r>
        <w:rPr>
          <w:shd w:val="clear" w:color="auto" w:fill="FFFF00"/>
        </w:rPr>
        <w:t>InsDel_O</w:t>
      </w:r>
      <w:proofErr w:type="spellEnd"/>
      <w:r>
        <w:rPr>
          <w:shd w:val="clear" w:color="auto" w:fill="FFFF00"/>
        </w:rPr>
        <w:t>)</w:t>
      </w:r>
      <w:r>
        <w:rPr>
          <w:rFonts w:hint="eastAsia"/>
        </w:rPr>
        <w:t>, Figure 7E</w:t>
      </w:r>
      <w:r>
        <w:t xml:space="preserve">). </w:t>
      </w:r>
      <w:r>
        <w:rPr>
          <w:rFonts w:hint="eastAsia"/>
        </w:rPr>
        <w:t xml:space="preserve">All these signatures </w:t>
      </w:r>
      <w:r>
        <w:t>showed significantly higher activity and enrichment in MSI tumors compared to MSS tumors (</w:t>
      </w:r>
      <w:r>
        <w:rPr>
          <w:rFonts w:hint="eastAsia"/>
        </w:rPr>
        <w:t xml:space="preserve">Figure 7F, </w:t>
      </w:r>
      <w:r>
        <w:t>Table S</w:t>
      </w:r>
      <w:r>
        <w:rPr>
          <w:rFonts w:hint="eastAsia"/>
        </w:rPr>
        <w:t>5</w:t>
      </w:r>
      <w:r>
        <w:t>).</w:t>
      </w:r>
      <w:r>
        <w:rPr>
          <w:rFonts w:hint="eastAsia"/>
        </w:rPr>
        <w:t xml:space="preserve"> </w:t>
      </w:r>
      <w:r>
        <w:t xml:space="preserve">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t>
      </w:r>
      <w:proofErr w:type="gramStart"/>
      <w:r>
        <w:t>we</w:t>
      </w:r>
      <w:proofErr w:type="gramEnd"/>
      <w:r>
        <w:t xml:space="preserve"> observed that Hx_ID33/ID_J, Hx_ID37/ID_N, and C_ID7 all display &gt;1 bp deletions at repeat </w:t>
      </w:r>
      <w:proofErr w:type="gramStart"/>
      <w:r>
        <w:t>sequences, but</w:t>
      </w:r>
      <w:proofErr w:type="gramEnd"/>
      <w:r>
        <w:t xml:space="preserve"> are associated with distinct indel types</w:t>
      </w:r>
      <w:r>
        <w:rPr>
          <w:rFonts w:hint="eastAsia"/>
        </w:rPr>
        <w:t>:</w:t>
      </w:r>
      <w:r>
        <w:t xml:space="preserve"> C_ID7 is mainly defined by single-base deletions of C or T from long homopolymer tracts. </w:t>
      </w:r>
      <w:r>
        <w:rPr>
          <w:shd w:val="clear" w:color="auto" w:fill="FFFF00"/>
        </w:rPr>
        <w:t>Hx_ID33/ID_J</w:t>
      </w:r>
      <w:r>
        <w:t xml:space="preserve"> predominantly reflects TT deletions from 4–5 TT repeats, while Hx_ID37/ID_N is associated with TTT deletions from 3 TTT repeats (Figure S</w:t>
      </w:r>
      <w:r>
        <w:rPr>
          <w:rFonts w:hint="eastAsia"/>
        </w:rPr>
        <w:t>6D&amp;E</w:t>
      </w:r>
      <w:r>
        <w:t>). Although Hx_ID33/ID_J and Hx_ID37/ID_N both describe similar patterns, Hx_ID37/ID_N is found exclusively in tumors with high C_ID2 activity, whereas Hx_ID33/ID_J more commonly co-occurs with C_ID2 (Figure S</w:t>
      </w:r>
      <w:r>
        <w:rPr>
          <w:rFonts w:hint="eastAsia"/>
        </w:rPr>
        <w:t>6C</w:t>
      </w:r>
      <w:r>
        <w:t xml:space="preserve">). Analysis of the corresponding 89-type signatures revealed that InsDelx33&lt;fix&gt; </w:t>
      </w:r>
      <w:r>
        <w:lastRenderedPageBreak/>
        <w:t>captures the deletion patterns of both Hx_ID33/ID_J and Hx_ID37/ID_N, characterized by a predominant peak at ‘</w:t>
      </w:r>
      <w:proofErr w:type="gramStart"/>
      <w:r>
        <w:t>L(</w:t>
      </w:r>
      <w:proofErr w:type="gramEnd"/>
      <w:r>
        <w:t>2</w:t>
      </w:r>
      <w:proofErr w:type="gramStart"/>
      <w:r>
        <w:t>, ):U</w:t>
      </w:r>
      <w:proofErr w:type="gramEnd"/>
      <w:r>
        <w:t>(1,2</w:t>
      </w:r>
      <w:proofErr w:type="gramStart"/>
      <w:r>
        <w:t>):R</w:t>
      </w:r>
      <w:proofErr w:type="gramEnd"/>
      <w:r>
        <w:t xml:space="preserve">(5,9)’. Further examination showed that tumors with high Hx_ID33/ID_J activity predominantly exhibit TT deletions from long repeats, Hx_ID37/ID_N tumors show TTT and TTTT deletions, whereas C_ID7 tumors are characterized by more dinucleotide deletions and longer </w:t>
      </w:r>
      <w:proofErr w:type="spellStart"/>
      <w:r>
        <w:t>polyT</w:t>
      </w:r>
      <w:proofErr w:type="spellEnd"/>
      <w:r>
        <w:t xml:space="preserve"> deletions</w:t>
      </w:r>
      <w:r>
        <w:rPr>
          <w:rFonts w:hint="eastAsia"/>
        </w:rPr>
        <w:t xml:space="preserve"> </w:t>
      </w:r>
      <w:r>
        <w:t xml:space="preserve">(Figure </w:t>
      </w:r>
      <w:r>
        <w:rPr>
          <w:rFonts w:hint="eastAsia"/>
        </w:rPr>
        <w:t>7G</w:t>
      </w:r>
      <w:r>
        <w:t>). Thus, despite shared features, these signatures arise from distinct mutational processes.</w:t>
      </w:r>
    </w:p>
    <w:p w14:paraId="550B0603" w14:textId="77777777" w:rsidR="00452489" w:rsidRDefault="00000000">
      <w:r>
        <w:t xml:space="preserve">In contrast to the deletion-dominated signatures, </w:t>
      </w:r>
      <w:r>
        <w:rPr>
          <w:shd w:val="clear" w:color="auto" w:fill="FFFF00"/>
        </w:rPr>
        <w:t>Hx_ID38/ID_O</w:t>
      </w:r>
      <w:r>
        <w:t xml:space="preserve"> is mainly characterized by insertions—specifically 1 bp and 2 bp events at long repeats. This signature is associated with two scenarios: in samples with low C_ID2 activity, </w:t>
      </w:r>
      <w:r>
        <w:rPr>
          <w:shd w:val="clear" w:color="auto" w:fill="FFFF00"/>
        </w:rPr>
        <w:t>Hx_ID38/ID_O</w:t>
      </w:r>
      <w:r>
        <w:t xml:space="preserve"> predominantly involves TT insertions; in samples with low, but not depleted, C_ID2 activity, </w:t>
      </w:r>
      <w:r>
        <w:rPr>
          <w:shd w:val="clear" w:color="auto" w:fill="FFFF00"/>
        </w:rPr>
        <w:t>Hx_ID38/ID_O</w:t>
      </w:r>
      <w:r>
        <w:t xml:space="preserve"> shows a higher proportion of AT/TA insertions (Figure S</w:t>
      </w:r>
      <w:r>
        <w:rPr>
          <w:rFonts w:hint="eastAsia"/>
        </w:rPr>
        <w:t>6F</w:t>
      </w:r>
      <w:r>
        <w:t xml:space="preserve">). Among the five MSI-associated signatures, only </w:t>
      </w:r>
      <w:r>
        <w:rPr>
          <w:shd w:val="clear" w:color="auto" w:fill="FFFF00"/>
        </w:rPr>
        <w:t>Hx_ID38/ID_O</w:t>
      </w:r>
      <w:r>
        <w:t xml:space="preserve"> primarily describes insertions, further reinforcing the tendency for MSI tumors to exhibit more deletions than insertions.</w:t>
      </w:r>
    </w:p>
    <w:p w14:paraId="22F2966E" w14:textId="77777777" w:rsidR="00452489" w:rsidRDefault="00000000">
      <w:r>
        <w:t xml:space="preserve">Finally, we assessed the predictive performance of MSI signature activity as a biomarker for MSI status by performing AUROC analyses using both pre-labeled MSI status and </w:t>
      </w:r>
      <w:proofErr w:type="spellStart"/>
      <w:r>
        <w:t>MSISeq</w:t>
      </w:r>
      <w:proofErr w:type="spellEnd"/>
      <w:r>
        <w:t>-derived status. Given the predominance of MSS tumors in our dataset, we evalua</w:t>
      </w:r>
      <w:r>
        <w:rPr>
          <w:rFonts w:hint="eastAsia"/>
        </w:rPr>
        <w:t xml:space="preserve">ted predictive accuracy across all tumors, as well as subsets with </w:t>
      </w:r>
      <w:r>
        <w:rPr>
          <w:rFonts w:hint="eastAsia"/>
        </w:rPr>
        <w:t>≥</w:t>
      </w:r>
      <w:r>
        <w:rPr>
          <w:rFonts w:hint="eastAsia"/>
        </w:rPr>
        <w:t xml:space="preserve">500 and </w:t>
      </w:r>
      <w:r>
        <w:rPr>
          <w:rFonts w:hint="eastAsia"/>
        </w:rPr>
        <w:t>≥</w:t>
      </w:r>
      <w:r>
        <w:rPr>
          <w:rFonts w:hint="eastAsia"/>
        </w:rPr>
        <w:t>2000 indels. In every scenario, the AUROC exceeded 0.95, indicating that both 83-type and 89-type signature profiles provide highly accurate detection of MSI status (Figure S6G &amp; H)</w:t>
      </w:r>
      <w:r>
        <w:t xml:space="preserve">. </w:t>
      </w:r>
    </w:p>
    <w:p w14:paraId="4F81BEAB" w14:textId="77777777" w:rsidR="00452489" w:rsidRDefault="00000000">
      <w:pPr>
        <w:pStyle w:val="Heading2"/>
      </w:pPr>
      <w:r>
        <w:t>A novel ID-TOP1 signature</w:t>
      </w:r>
    </w:p>
    <w:p w14:paraId="3F7C959D" w14:textId="77777777" w:rsidR="00452489" w:rsidRDefault="00000000">
      <w:r>
        <w:t>We identified a novel pair of mutational signatures, Hx_ID29/ID_F and InsDelx29/</w:t>
      </w:r>
      <w:proofErr w:type="spellStart"/>
      <w:r>
        <w:t>InsDel_F</w:t>
      </w:r>
      <w:proofErr w:type="spellEnd"/>
      <w:r>
        <w:t xml:space="preserve">, both characterized by 1–3 bp deletions from two repeats or microhomology, </w:t>
      </w:r>
      <w:r>
        <w:lastRenderedPageBreak/>
        <w:t xml:space="preserve">with strong support from both PCAWG and HMF samples (Figure </w:t>
      </w:r>
      <w:r>
        <w:rPr>
          <w:rFonts w:hint="eastAsia"/>
        </w:rPr>
        <w:t>8</w:t>
      </w:r>
      <w:r>
        <w:t xml:space="preserve">A, </w:t>
      </w:r>
      <w:r>
        <w:rPr>
          <w:rFonts w:hint="eastAsia"/>
        </w:rPr>
        <w:t>Figure S7</w:t>
      </w:r>
      <w:r>
        <w:t>). Notably, two PCAWG samples exhibited high Hx_ID29/ID_F activity: a skin melanoma genome (SP103894) with 3,772 Hx_ID29/ID_F mutations, and a breast cancer genome (SP5559) with 949 Hx_ID29/ID_F mutations</w:t>
      </w:r>
      <w:r>
        <w:rPr>
          <w:rFonts w:hint="eastAsia"/>
        </w:rPr>
        <w:t xml:space="preserve"> (Figure S7B)</w:t>
      </w:r>
      <w:r>
        <w:t xml:space="preserve">. The inclusion of additional samples enabled the detection of these rare signatures within the PCAWG dataset. Importantly, previous analyses often failed to extract ID4 and ID_F&lt;OLD_Hx_ID29/ID_F&gt; simultaneously, </w:t>
      </w:r>
      <w:r>
        <w:rPr>
          <w:shd w:val="clear" w:color="auto" w:fill="FFFF00"/>
        </w:rPr>
        <w:t>&lt;</w:t>
      </w:r>
      <w:proofErr w:type="spellStart"/>
      <w:r>
        <w:rPr>
          <w:shd w:val="clear" w:color="auto" w:fill="FFFF00"/>
        </w:rPr>
        <w:t>steve</w:t>
      </w:r>
      <w:proofErr w:type="spellEnd"/>
      <w:r>
        <w:rPr>
          <w:shd w:val="clear" w:color="auto" w:fill="FFFF00"/>
        </w:rPr>
        <w:t xml:space="preserve"> soften this&gt; </w:t>
      </w:r>
      <w:r>
        <w:t xml:space="preserve">and frequently misclassified ID4 as generated by ID-TOP1-TAM </w:t>
      </w:r>
      <w:r>
        <w:fldChar w:fldCharType="begin"/>
      </w:r>
      <w:r>
        <w:instrText>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fldChar w:fldCharType="separate"/>
      </w:r>
      <w:r>
        <w:t>(Jin et al. 2024; Koh et al. 2025; Reijns et al. 2022)</w:t>
      </w:r>
      <w:r>
        <w:fldChar w:fldCharType="end"/>
      </w:r>
      <w:r>
        <w:t>. Here, for the first time, we identified C_ID4 and Hx_ID29/ID_F, along with their corresponding 89-type representations (InsDel4a, InsDel4b, and InsDelx29/</w:t>
      </w:r>
      <w:proofErr w:type="spellStart"/>
      <w:r>
        <w:t>InsDel_F</w:t>
      </w:r>
      <w:proofErr w:type="spellEnd"/>
      <w:r>
        <w:t xml:space="preserve">), using a de novo extraction approach. Compared to C_ID4, Hx_ID29/ID_F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rPr>
        <w:t>L(3,</w:t>
      </w:r>
      <w:proofErr w:type="gramStart"/>
      <w:r>
        <w:rPr>
          <w:i/>
          <w:iCs/>
        </w:rPr>
        <w:t>):U</w:t>
      </w:r>
      <w:proofErr w:type="gramEnd"/>
      <w:r>
        <w:rPr>
          <w:i/>
          <w:iCs/>
        </w:rPr>
        <w:t>(3,</w:t>
      </w:r>
      <w:proofErr w:type="gramStart"/>
      <w:r>
        <w:rPr>
          <w:i/>
          <w:iCs/>
        </w:rPr>
        <w:t>):R</w:t>
      </w:r>
      <w:proofErr w:type="gramEnd"/>
      <w:r>
        <w:rPr>
          <w:i/>
          <w:iCs/>
        </w:rPr>
        <w:t>(2,9)</w:t>
      </w:r>
      <w:r>
        <w:t>, while InsDelx29/</w:t>
      </w:r>
      <w:proofErr w:type="spellStart"/>
      <w:r>
        <w:t>InsDel_F</w:t>
      </w:r>
      <w:proofErr w:type="spellEnd"/>
      <w:r>
        <w:t xml:space="preserve"> is dominated by the peak at </w:t>
      </w:r>
      <w:r>
        <w:rPr>
          <w:i/>
          <w:iCs/>
        </w:rPr>
        <w:t>L(2,8</w:t>
      </w:r>
      <w:proofErr w:type="gramStart"/>
      <w:r>
        <w:rPr>
          <w:i/>
          <w:iCs/>
        </w:rPr>
        <w:t>):U</w:t>
      </w:r>
      <w:proofErr w:type="gramEnd"/>
      <w:r>
        <w:rPr>
          <w:i/>
          <w:iCs/>
        </w:rPr>
        <w:t>(1,2</w:t>
      </w:r>
      <w:proofErr w:type="gramStart"/>
      <w:r>
        <w:rPr>
          <w:i/>
          <w:iCs/>
        </w:rPr>
        <w:t>):R</w:t>
      </w:r>
      <w:proofErr w:type="gramEnd"/>
      <w:r>
        <w:rPr>
          <w:i/>
          <w:iCs/>
        </w:rPr>
        <w:t>(2,4)</w:t>
      </w:r>
      <w:r>
        <w:t>.</w:t>
      </w:r>
    </w:p>
    <w:p w14:paraId="29848CAA" w14:textId="77777777" w:rsidR="00452489" w:rsidRDefault="00000000">
      <w:r>
        <w:t>Because 89-type analysis is currently limited to human genomes (Koh et al., 2025), and due to the strong resemblance between InDel29 and InDel4a</w:t>
      </w:r>
      <w:r>
        <w:rPr>
          <w:rFonts w:hint="eastAsia"/>
        </w:rPr>
        <w:t>/4b</w:t>
      </w:r>
      <w:r>
        <w:t xml:space="preserve"> and their corresponding </w:t>
      </w:r>
      <w:r>
        <w:rPr>
          <w:rFonts w:hint="eastAsia"/>
        </w:rPr>
        <w:t>83-type</w:t>
      </w:r>
      <w:r>
        <w:t xml:space="preserve"> signatures, we focused </w:t>
      </w:r>
      <w:r>
        <w:rPr>
          <w:rFonts w:hint="eastAsia"/>
        </w:rPr>
        <w:t xml:space="preserve">most of </w:t>
      </w:r>
      <w:r>
        <w:t>our subsequent analyses specifically on Hx_ID29/ID_F.</w:t>
      </w:r>
      <w:r>
        <w:rPr>
          <w:rFonts w:hint="eastAsia"/>
        </w:rPr>
        <w:t xml:space="preserve"> </w:t>
      </w:r>
      <w:r>
        <w:t>Upon re-examining the rnh201Δ</w:t>
      </w:r>
      <w:r>
        <w:rPr>
          <w:rFonts w:hint="eastAsia"/>
        </w:rPr>
        <w:t xml:space="preserve"> </w:t>
      </w:r>
      <w:r>
        <w:rPr>
          <w:i/>
          <w:iCs/>
        </w:rPr>
        <w:t>Saccharomyces cerevisiae</w:t>
      </w:r>
      <w:r>
        <w:t xml:space="preserve"> genomes, we observed 2 bp deletion patterns </w:t>
      </w:r>
      <w:proofErr w:type="gramStart"/>
      <w:r>
        <w:t>similar to</w:t>
      </w:r>
      <w:proofErr w:type="gramEnd"/>
      <w:r>
        <w:t xml:space="preserve"> those of Hx_ID29/ID_F, although deletions within microhomology were depleted (Williams et al. 2019; Conover et al. 2015</w:t>
      </w:r>
      <w:r>
        <w:rPr>
          <w:rFonts w:hint="eastAsia"/>
        </w:rPr>
        <w:t>, Figures S8</w:t>
      </w:r>
      <w:r>
        <w:t>).</w:t>
      </w:r>
      <w:r>
        <w:rPr>
          <w:rFonts w:hint="eastAsia"/>
        </w:rPr>
        <w:t xml:space="preserve"> </w:t>
      </w:r>
      <w:r>
        <w:t>We established an RNASEH2B deficiency model using the CRISPR/Cas9 system in the HEK293T cell line, and whole genome sequencing revealed patterns consistent with Hx_ID29/ID_F</w:t>
      </w:r>
      <w:r>
        <w:rPr>
          <w:rFonts w:hint="eastAsia"/>
        </w:rPr>
        <w:t xml:space="preserve"> and InsDelx29/</w:t>
      </w:r>
      <w:proofErr w:type="spellStart"/>
      <w:r>
        <w:rPr>
          <w:rFonts w:hint="eastAsia"/>
        </w:rPr>
        <w:t>InsDel_F</w:t>
      </w:r>
      <w:proofErr w:type="spellEnd"/>
      <w:r>
        <w:t xml:space="preserve"> (Figure </w:t>
      </w:r>
      <w:r>
        <w:rPr>
          <w:rFonts w:hint="eastAsia"/>
        </w:rPr>
        <w:t>8B</w:t>
      </w:r>
      <w:r>
        <w:t xml:space="preserve">). The primary peak predominantly represents the deletion of CT from 5’-CTCT-3’ (or AG </w:t>
      </w:r>
      <w:r>
        <w:lastRenderedPageBreak/>
        <w:t xml:space="preserve">from 5’-AGAG-3’), as indicated by the extended sequence analysis of RNASEH2B-KO cell lines and </w:t>
      </w:r>
      <w:r>
        <w:rPr>
          <w:rFonts w:hint="eastAsia"/>
        </w:rPr>
        <w:t xml:space="preserve">the </w:t>
      </w:r>
      <w:r>
        <w:t xml:space="preserve">five </w:t>
      </w:r>
      <w:r>
        <w:rPr>
          <w:rFonts w:hint="eastAsia"/>
        </w:rPr>
        <w:t>genomes</w:t>
      </w:r>
      <w:r>
        <w:t xml:space="preserve"> exhibiting the highest Hx_ID29/ID_F activity.</w:t>
      </w:r>
      <w:r>
        <w:rPr>
          <w:rFonts w:hint="eastAsia"/>
        </w:rPr>
        <w:t xml:space="preserve"> The weights of each </w:t>
      </w:r>
      <w:r>
        <w:t>nucleotide</w:t>
      </w:r>
      <w:r>
        <w:rPr>
          <w:rFonts w:hint="eastAsia"/>
        </w:rPr>
        <w:t xml:space="preserve"> on each position </w:t>
      </w:r>
      <w:r>
        <w:t>suggest</w:t>
      </w:r>
      <w:r>
        <w:rPr>
          <w:rFonts w:hint="eastAsia"/>
        </w:rPr>
        <w:t xml:space="preserve"> a preference of </w:t>
      </w:r>
      <w:proofErr w:type="gramStart"/>
      <w:r>
        <w:rPr>
          <w:rFonts w:hint="eastAsia"/>
        </w:rPr>
        <w:t>CTCT(</w:t>
      </w:r>
      <w:proofErr w:type="gramEnd"/>
      <w:r>
        <w:rPr>
          <w:rFonts w:hint="eastAsia"/>
        </w:rPr>
        <w:t>deletion from repeats) or NTNT (deletion with microhomology) sequences at deletion sites for Hx_ID29/ID_F, while NTNT (deletion from repeats) and CTNT (deletion from microhomology) at deletion sites for C_ID4 (Figure 8C). T</w:t>
      </w:r>
      <w:r>
        <w:t>umors exhibiting high Hx_ID29/ID_F activity show deletion sequences that closely resemble those observed in RNASEH2B null HEK293T cells, as well as in Rnaseh2b knockout mouse tumors and RNaseH2</w:t>
      </w:r>
      <w:r>
        <w:rPr>
          <w:rFonts w:hint="eastAsia"/>
        </w:rPr>
        <w:t>-</w:t>
      </w:r>
      <w:r>
        <w:t>null RPE1 cells (Figure</w:t>
      </w:r>
      <w:r>
        <w:rPr>
          <w:rFonts w:hint="eastAsia"/>
        </w:rPr>
        <w:t xml:space="preserve"> S6, Figure S9</w:t>
      </w:r>
      <w:r>
        <w:t>). In contrast, C_ID4 displays a more balanced preference for deleting CT and TT within tandem repeats, with a prevalent CTNTN motif found in microhomologies (</w:t>
      </w:r>
      <w:r>
        <w:rPr>
          <w:rFonts w:hint="eastAsia"/>
        </w:rPr>
        <w:t xml:space="preserve">Figure 8C, </w:t>
      </w:r>
      <w:r>
        <w:t>Figure</w:t>
      </w:r>
      <w:r>
        <w:rPr>
          <w:rFonts w:hint="eastAsia"/>
        </w:rPr>
        <w:t xml:space="preserve"> S9</w:t>
      </w:r>
      <w:r>
        <w:t>).</w:t>
      </w:r>
    </w:p>
    <w:p w14:paraId="5D152D6C" w14:textId="77777777" w:rsidR="00452489" w:rsidRDefault="00000000">
      <w:r>
        <w:t xml:space="preserve">Collectively, </w:t>
      </w:r>
      <w:r>
        <w:rPr>
          <w:rFonts w:hint="eastAsia"/>
        </w:rPr>
        <w:t>our analysis</w:t>
      </w:r>
      <w:r>
        <w:t xml:space="preserve"> presents Hx_ID29/ID_F </w:t>
      </w:r>
      <w:r>
        <w:rPr>
          <w:rFonts w:hint="eastAsia"/>
        </w:rPr>
        <w:t>and InsDelx29/</w:t>
      </w:r>
      <w:proofErr w:type="spellStart"/>
      <w:r>
        <w:rPr>
          <w:rFonts w:hint="eastAsia"/>
        </w:rPr>
        <w:t>InsDel_F</w:t>
      </w:r>
      <w:proofErr w:type="spellEnd"/>
      <w:r>
        <w:rPr>
          <w:rFonts w:hint="eastAsia"/>
        </w:rPr>
        <w:t xml:space="preserve"> </w:t>
      </w:r>
      <w:r>
        <w:t xml:space="preserve">as </w:t>
      </w:r>
      <w:r>
        <w:rPr>
          <w:rFonts w:hint="eastAsia"/>
        </w:rPr>
        <w:t>two</w:t>
      </w:r>
      <w:r>
        <w:t xml:space="preserve"> novel mutational signatures identified through de novo extraction from cancer genomic dat</w:t>
      </w:r>
      <w:r>
        <w:rPr>
          <w:rFonts w:hint="eastAsia"/>
        </w:rPr>
        <w:t>a, su</w:t>
      </w:r>
      <w:r>
        <w:t xml:space="preserve">ggesting its association with TOP1-dependent deletions in RNASEH2A and/or RNASEH2B deficient cells. Previous work by </w:t>
      </w:r>
      <w:proofErr w:type="spellStart"/>
      <w:r>
        <w:t>Reijns</w:t>
      </w:r>
      <w:proofErr w:type="spellEnd"/>
      <w:r>
        <w:t xml:space="preserve"> et al. developed RNASEH2A-deficient mammalian cell lines and Rnaseh2b-KO mouse intestinal cancer models, revealing the enrichment of 2 bp deletions from tandem repeats or microhomology (</w:t>
      </w:r>
      <w:proofErr w:type="spellStart"/>
      <w:r>
        <w:t>Reijns</w:t>
      </w:r>
      <w:proofErr w:type="spellEnd"/>
      <w:r>
        <w:t xml:space="preserve"> et al. 2022</w:t>
      </w:r>
      <w:r>
        <w:rPr>
          <w:rFonts w:hint="eastAsia"/>
        </w:rPr>
        <w:t>, Figure S9B, C</w:t>
      </w:r>
      <w:r>
        <w:t>). Our findings indicate that Hx_ID29/ID_F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t xml:space="preserve">). </w:t>
      </w:r>
      <w:r>
        <w:rPr>
          <w:rFonts w:hint="eastAsia"/>
        </w:rPr>
        <w:t xml:space="preserve">Compared to ID4, Hx_ID29/ID_F shows </w:t>
      </w:r>
      <w:r>
        <w:t>an</w:t>
      </w:r>
      <w:r>
        <w:rPr>
          <w:rFonts w:hint="eastAsia"/>
        </w:rPr>
        <w:t xml:space="preserve"> almost depletion of long deletions (deletion length</w:t>
      </w:r>
      <w:r>
        <w:rPr>
          <w:rFonts w:hint="eastAsia"/>
        </w:rPr>
        <w:t>≥</w:t>
      </w:r>
      <w:r>
        <w:rPr>
          <w:rFonts w:hint="eastAsia"/>
        </w:rPr>
        <w:t xml:space="preserve">3) at repeats and microhomologies (Figure S6A). Hx_ID29/ID_F contributes to more mutations </w:t>
      </w:r>
      <w:r>
        <w:t xml:space="preserve">in </w:t>
      </w:r>
      <w:r>
        <w:rPr>
          <w:rFonts w:hint="eastAsia"/>
        </w:rPr>
        <w:t xml:space="preserve">transcribed regions compared to </w:t>
      </w:r>
      <w:proofErr w:type="spellStart"/>
      <w:r>
        <w:rPr>
          <w:rFonts w:hint="eastAsia"/>
        </w:rPr>
        <w:t>untranscribed</w:t>
      </w:r>
      <w:proofErr w:type="spellEnd"/>
      <w:r>
        <w:rPr>
          <w:rFonts w:hint="eastAsia"/>
        </w:rPr>
        <w:t xml:space="preserve"> regions, which is also observed in RNase H2 null in vitro models (Figure 8D). The </w:t>
      </w:r>
      <w:r>
        <w:rPr>
          <w:rFonts w:hint="eastAsia"/>
        </w:rPr>
        <w:lastRenderedPageBreak/>
        <w:t xml:space="preserve">consistent observations </w:t>
      </w:r>
      <w:r>
        <w:t>suggest</w:t>
      </w:r>
      <w:r>
        <w:rPr>
          <w:rFonts w:hint="eastAsia"/>
        </w:rPr>
        <w:t xml:space="preserve"> that Hx_ID29/ID_F is associated with a transcription associated mutational process. </w:t>
      </w:r>
      <w:r>
        <w:t>Thus, Hx_ID29/ID_F</w:t>
      </w:r>
      <w:r>
        <w:rPr>
          <w:rFonts w:hint="eastAsia"/>
        </w:rPr>
        <w:t xml:space="preserve"> and InsDelx29/</w:t>
      </w:r>
      <w:proofErr w:type="spellStart"/>
      <w:r>
        <w:rPr>
          <w:rFonts w:hint="eastAsia"/>
        </w:rPr>
        <w:t>InsDel_F</w:t>
      </w:r>
      <w:proofErr w:type="spellEnd"/>
      <w: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14:paraId="107C7602" w14:textId="77777777" w:rsidR="00452489" w:rsidRDefault="00000000">
      <w:pPr>
        <w:pStyle w:val="Heading2"/>
      </w:pPr>
      <w:r>
        <w:t xml:space="preserve">Functional and Demographic Associations </w:t>
      </w:r>
    </w:p>
    <w:p w14:paraId="11C7E22D" w14:textId="77777777" w:rsidR="00452489" w:rsidRDefault="00000000">
      <w:commentRangeStart w:id="1"/>
      <w:r>
        <w:t xml:space="preserve">To assess the impact of mutational signatures on indel formation within cancer-related genes, we analyzed </w:t>
      </w:r>
      <w:proofErr w:type="spellStart"/>
      <w:r>
        <w:t>exonic</w:t>
      </w:r>
      <w:proofErr w:type="spellEnd"/>
      <w:r>
        <w:t xml:space="preserve"> regions of 581 Tier 1 genes from the Cancer Gene Census (</w:t>
      </w:r>
      <w:proofErr w:type="spellStart"/>
      <w:r>
        <w:t>Sondka</w:t>
      </w:r>
      <w:proofErr w:type="spellEnd"/>
      <w:r>
        <w:t xml:space="preserve"> et al., 2018). Deletions were most prevalent in ACVR2A, ARID1A, ATM, BAX, BCL11B, EBF1, ESR1, HNRNPA2B1, KAT6B, KMT2C, MECOM, NFIB, PBX1, PTPRK, QKI, RNF43, RPL22, TCF7L2, TPM4, and TP53</w:t>
      </w:r>
      <w:r>
        <w:rPr>
          <w:rFonts w:hint="eastAsia"/>
        </w:rPr>
        <w:t xml:space="preserve"> </w:t>
      </w:r>
      <w:r>
        <w:t xml:space="preserve">(Figure </w:t>
      </w:r>
      <w:r>
        <w:rPr>
          <w:rFonts w:hint="eastAsia"/>
        </w:rPr>
        <w:t>9A&amp;B</w:t>
      </w:r>
      <w: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t>) were predominantly linked to tobacco smoking, while 2 bp deletions arising from tandem repeats or microhomologies were mediated by TOP1-TAM (Hx_ID29/ID_F, InsDelx29/</w:t>
      </w:r>
      <w:proofErr w:type="spellStart"/>
      <w:r>
        <w:t>InsDel_F</w:t>
      </w:r>
      <w:proofErr w:type="spellEnd"/>
      <w:r>
        <w:t>) and TOP2A p.K743N (C_ID17, InsDel17) signatures. Larger de novo deletions (&gt;5 bp) were associated mainly with HR deficiency and NHEJ activity.</w:t>
      </w:r>
      <w:r>
        <w:rPr>
          <w:rFonts w:hint="eastAsia"/>
        </w:rPr>
        <w:t xml:space="preserve"> </w:t>
      </w:r>
      <w:r>
        <w:t xml:space="preserve">The most frequently affected genes by insertions included ABI1, APC, AR, ARID1A, BAX, CDKN2A, CYLD, ERBB2, FBXO11, FGFR1, GRIN2A, HNF1A, HNRNPA2B1, MSH6, NF1, PBRM1, </w:t>
      </w:r>
      <w:proofErr w:type="gramStart"/>
      <w:r>
        <w:t>PHOX2B, TCF12</w:t>
      </w:r>
      <w:proofErr w:type="gramEnd"/>
      <w:r>
        <w:t>, TCF7L2, and TP53. Notably, TP53 exhibited the highest frequency of various insertion types, such as single-</w:t>
      </w:r>
      <w:proofErr w:type="gramStart"/>
      <w:r>
        <w:t>base</w:t>
      </w:r>
      <w:proofErr w:type="gramEnd"/>
      <w:r>
        <w:t xml:space="preserve"> C/T insertions and long repeat insertions </w:t>
      </w:r>
      <w:r>
        <w:lastRenderedPageBreak/>
        <w:t>(</w:t>
      </w:r>
      <w:proofErr w:type="gramStart"/>
      <w:r>
        <w:t>INS:repeats</w:t>
      </w:r>
      <w:proofErr w:type="gramEnd"/>
      <w:r>
        <w:t>:5+:1), largely attributable to signatures associated with DNA replication slippage, defective mismatch repair (MMR), TOP1-TAM, and non-homologous end joining (NHEJ) DNA repair</w:t>
      </w:r>
      <w:r>
        <w:rPr>
          <w:rFonts w:hint="eastAsia"/>
        </w:rPr>
        <w:t xml:space="preserve"> (</w:t>
      </w:r>
      <w:r>
        <w:t xml:space="preserve">Figure </w:t>
      </w:r>
      <w:r>
        <w:rPr>
          <w:rFonts w:hint="eastAsia"/>
        </w:rPr>
        <w:t>9 C&amp;D)</w:t>
      </w:r>
      <w:r>
        <w:t>.</w:t>
      </w:r>
    </w:p>
    <w:p w14:paraId="3C3C9BB5" w14:textId="77777777" w:rsidR="00452489" w:rsidRDefault="00000000">
      <w:r>
        <w:t xml:space="preserve">We further explored the distribution of TP53 deletions across cancer types. While tobacco smoking signatures </w:t>
      </w:r>
      <w:proofErr w:type="gramStart"/>
      <w:r>
        <w:t>dominated in</w:t>
      </w:r>
      <w:proofErr w:type="gramEnd"/>
      <w:r>
        <w:t xml:space="preserve"> </w:t>
      </w:r>
      <w:r>
        <w:rPr>
          <w:rFonts w:hint="eastAsia"/>
        </w:rPr>
        <w:t xml:space="preserve">both deletion and insertions of single base cytosine in </w:t>
      </w:r>
      <w:r>
        <w:t xml:space="preserve">lung cancers, NHEJ DNA repair was the primary driver of TP53 deletions </w:t>
      </w:r>
      <w:r>
        <w:rPr>
          <w:rFonts w:hint="eastAsia"/>
        </w:rPr>
        <w:t xml:space="preserve">with length more than 5bp </w:t>
      </w:r>
      <w:r>
        <w:t>in bladder and biliary cancers (Figure S</w:t>
      </w:r>
      <w:r>
        <w:rPr>
          <w:rFonts w:hint="eastAsia"/>
        </w:rPr>
        <w:t>10</w:t>
      </w:r>
      <w:r>
        <w:t>)</w:t>
      </w:r>
      <w:r>
        <w:rPr>
          <w:rFonts w:hint="eastAsia"/>
        </w:rPr>
        <w:t xml:space="preserve">. </w:t>
      </w:r>
      <w:r>
        <w:t xml:space="preserve">This divergence underscores how tissue-specific mutational processes </w:t>
      </w:r>
      <w:r>
        <w:rPr>
          <w:rFonts w:hint="eastAsia"/>
        </w:rPr>
        <w:t xml:space="preserve">drive the key gene mutations in different </w:t>
      </w:r>
      <w:proofErr w:type="gramStart"/>
      <w:r>
        <w:rPr>
          <w:rFonts w:hint="eastAsia"/>
        </w:rPr>
        <w:t>type</w:t>
      </w:r>
      <w:proofErr w:type="gramEnd"/>
      <w:r>
        <w:rPr>
          <w:rFonts w:hint="eastAsia"/>
        </w:rPr>
        <w:t xml:space="preserve"> of cancers</w:t>
      </w:r>
      <w:commentRangeEnd w:id="1"/>
      <w:r w:rsidR="00F9217F">
        <w:rPr>
          <w:rStyle w:val="CommentReference"/>
        </w:rPr>
        <w:commentReference w:id="1"/>
      </w:r>
    </w:p>
    <w:p w14:paraId="7C2E53E7" w14:textId="77777777" w:rsidR="00452489" w:rsidRDefault="00000000">
      <w:r>
        <w:rPr>
          <w:rFonts w:hint="eastAsia"/>
        </w:rPr>
        <w:t>T</w:t>
      </w:r>
      <w:r>
        <w:t>o explore potential gender differences in mutational signature activity, we performed two-sided Fisher’s exact tests with Benjamini–Hochberg correction (q &lt; 0.2; female as reference, OR &lt; 1 indicating male enrichment</w:t>
      </w:r>
      <w:r>
        <w:rPr>
          <w:rFonts w:hint="eastAsia"/>
        </w:rPr>
        <w:t>, Table S6</w:t>
      </w:r>
      <w: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t>) and InsDel19a (OR = 0.118, q = 1.84×10</w:t>
      </w:r>
      <w:r>
        <w:rPr>
          <w:rFonts w:hint="eastAsia"/>
          <w:vertAlign w:val="superscript"/>
        </w:rPr>
        <w:t>-4</w:t>
      </w:r>
      <w: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t>) and skin cancer (InsDel13: OR = 0.407, q = 0.144; C_ID13: OR = 0.408, q = 0.109</w:t>
      </w:r>
      <w:r>
        <w:rPr>
          <w:rFonts w:hint="eastAsia"/>
        </w:rPr>
        <w:t>; both due to ultraviolet light exposure</w:t>
      </w:r>
      <w:r>
        <w:t xml:space="preserve">).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Hx_ID24/ID_A (OR = 3.83, q = 0.101) and lymphoid C_ID4 (OR = 2.49, q = 0.174). No other </w:t>
      </w:r>
      <w:r>
        <w:lastRenderedPageBreak/>
        <w:t>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14:paraId="1855CD5D" w14:textId="77777777" w:rsidR="00452489" w:rsidRDefault="00000000">
      <w:pPr>
        <w:pStyle w:val="Heading1"/>
      </w:pPr>
      <w:r>
        <w:t>Discussion</w:t>
      </w:r>
    </w:p>
    <w:p w14:paraId="2EB439C9" w14:textId="77777777" w:rsidR="00452489" w:rsidRDefault="00000000">
      <w:r>
        <w:t xml:space="preserve">Leveraging a novel nonparametric Bayesian framework, we conducted mutational signature analysis on over </w:t>
      </w:r>
      <w:r>
        <w:rPr>
          <w:rFonts w:hint="eastAsia"/>
        </w:rPr>
        <w:t>6,975</w:t>
      </w:r>
      <w: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w:t>
      </w:r>
      <w:proofErr w:type="spellStart"/>
      <w:r>
        <w:t>InsDel_F</w:t>
      </w:r>
      <w:proofErr w:type="spellEnd"/>
      <w:r>
        <w:t>) associated with TOP1-</w:t>
      </w:r>
      <w:proofErr w:type="gramStart"/>
      <w:r>
        <w:t>TAM, and</w:t>
      </w:r>
      <w:proofErr w:type="gramEnd"/>
      <w:r>
        <w:t xml:space="preserve">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14:paraId="5319950E" w14:textId="77777777" w:rsidR="00452489"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w:t>
      </w:r>
      <w:proofErr w:type="spellStart"/>
      <w:r>
        <w:rPr>
          <w:rFonts w:hint="eastAsia"/>
        </w:rPr>
        <w:t>InDel</w:t>
      </w:r>
      <w:proofErr w:type="spellEnd"/>
      <w:r>
        <w:rPr>
          <w:rFonts w:hint="eastAsia"/>
        </w:rPr>
        <w:t xml:space="preserve"> signature database sourced from 4,775 genomes across 7 cancer types. </w:t>
      </w:r>
      <w:r>
        <w:t xml:space="preserve">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w:t>
      </w:r>
      <w:r>
        <w:lastRenderedPageBreak/>
        <w:t>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17782D67" w14:textId="77777777" w:rsidR="00452489" w:rsidRDefault="00452489"/>
    <w:p w14:paraId="787290CC" w14:textId="77777777" w:rsidR="00452489" w:rsidRDefault="00452489"/>
    <w:p w14:paraId="5E29CDC8" w14:textId="77777777" w:rsidR="00452489" w:rsidRDefault="00452489"/>
    <w:p w14:paraId="04C84C40" w14:textId="77777777" w:rsidR="00452489" w:rsidRDefault="00000000">
      <w: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1321D785" w14:textId="77777777" w:rsidR="00452489" w:rsidRDefault="00000000">
      <w:pPr>
        <w:pStyle w:val="Heading1"/>
      </w:pPr>
      <w:r>
        <w:t>Materials and methods</w:t>
      </w:r>
    </w:p>
    <w:p w14:paraId="1455B980" w14:textId="77777777" w:rsidR="00452489" w:rsidRDefault="00000000">
      <w:pPr>
        <w:pStyle w:val="Heading2"/>
      </w:pPr>
      <w:r>
        <w:t>Data sources</w:t>
      </w:r>
    </w:p>
    <w:p w14:paraId="37BA0F1C" w14:textId="77777777" w:rsidR="00452489" w:rsidRDefault="00000000">
      <w:pPr>
        <w:ind w:firstLine="0"/>
      </w:pPr>
      <w:r>
        <w:t>Somatic indel calls from the ICGC/TCGA (International Cancer Genome Consortium/The Cancer Genome Atlas) Pan-Cancer Analysis of Whole Genomes Consortium and associated clinical characteristics were obtained from the ICGC data portal (</w:t>
      </w:r>
      <w:hyperlink r:id="rId15">
        <w:r w:rsidR="00452489">
          <w:rPr>
            <w:rStyle w:val="Hyperlink"/>
          </w:rPr>
          <w:t>https://dcc.icgc.org/releases/current/Projects/</w:t>
        </w:r>
      </w:hyperlink>
      <w:r>
        <w:t xml:space="preserve">, which has been retired. The data </w:t>
      </w:r>
      <w:proofErr w:type="gramStart"/>
      <w:r>
        <w:t>were</w:t>
      </w:r>
      <w:proofErr w:type="gramEnd"/>
      <w:r>
        <w:t xml:space="preserve"> downloaded on 9 </w:t>
      </w:r>
      <w:proofErr w:type="gramStart"/>
      <w:r>
        <w:t>May,</w:t>
      </w:r>
      <w:proofErr w:type="gramEnd"/>
      <w:r>
        <w:t xml:space="preserve"> 2024. Hartwig Medical Foundation through standardized procedures and request forms that can be found at https://www.hartwigmedicalfoundation.nl/en/appyling-for-data/</w:t>
      </w:r>
      <w:r>
        <w:rPr>
          <w:rFonts w:hint="eastAsia"/>
        </w:rPr>
        <w:t>.</w:t>
      </w:r>
      <w:r>
        <w:t xml:space="preserve"> Clinical traits such as cancer type, age and gender of the HMF genomes were found from supplementary files of </w:t>
      </w:r>
      <w:r>
        <w:rPr>
          <w:color w:val="000000"/>
        </w:rPr>
        <w:t>Priestley et al., 2019.</w:t>
      </w:r>
      <w:r>
        <w:t xml:space="preserve"> These data </w:t>
      </w:r>
      <w:proofErr w:type="gramStart"/>
      <w:r>
        <w:t>was</w:t>
      </w:r>
      <w:proofErr w:type="gramEnd"/>
      <w:r>
        <w:t xml:space="preserve"> also provided in Table S</w:t>
      </w:r>
      <w:r>
        <w:rPr>
          <w:rFonts w:hint="eastAsia"/>
        </w:rPr>
        <w:t xml:space="preserve">10 &lt;OF </w:t>
      </w:r>
      <w:proofErr w:type="spellStart"/>
      <w:r>
        <w:rPr>
          <w:rFonts w:hint="eastAsia"/>
        </w:rPr>
        <w:lastRenderedPageBreak/>
        <w:t>Prieslty</w:t>
      </w:r>
      <w:proofErr w:type="spellEnd"/>
      <w:r>
        <w:rPr>
          <w:rFonts w:hint="eastAsia"/>
        </w:rPr>
        <w:t>&gt;</w:t>
      </w:r>
      <w: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color w:val="000000"/>
            </w:rPr>
            <w:t>(</w:t>
          </w:r>
          <w:proofErr w:type="spellStart"/>
          <w:r>
            <w:rPr>
              <w:color w:val="000000"/>
            </w:rPr>
            <w:t>Sondka</w:t>
          </w:r>
          <w:proofErr w:type="spellEnd"/>
          <w:r>
            <w:rPr>
              <w:color w:val="000000"/>
            </w:rPr>
            <w:t xml:space="preserve"> et al., 2018</w:t>
          </w:r>
          <w:r>
            <w:rPr>
              <w:rFonts w:hint="eastAsia"/>
              <w:color w:val="000000"/>
            </w:rPr>
            <w:t xml:space="preserve">, downloaded from </w:t>
          </w:r>
          <w:hyperlink r:id="rId16">
            <w:r w:rsidR="00452489">
              <w:rPr>
                <w:rStyle w:val="Hyperlink"/>
              </w:rPr>
              <w:t>https://cancer.sanger.ac.uk/cosmic/census?tier=1</w:t>
            </w:r>
          </w:hyperlink>
          <w:r>
            <w:rPr>
              <w:rFonts w:hint="eastAsia"/>
              <w:color w:val="000000"/>
            </w:rPr>
            <w:t xml:space="preserve"> on 9 Jun, 2024</w:t>
          </w:r>
          <w:r>
            <w:rPr>
              <w:color w:val="000000"/>
            </w:rPr>
            <w:t>)</w:t>
          </w:r>
        </w:sdtContent>
      </w:sdt>
      <w:r>
        <w:t>.</w:t>
      </w:r>
    </w:p>
    <w:p w14:paraId="77E27411" w14:textId="77777777" w:rsidR="00452489" w:rsidRDefault="00000000">
      <w:pPr>
        <w:pStyle w:val="Heading2"/>
      </w:pPr>
      <w:r>
        <w:t>Mutational signature extraction</w:t>
      </w:r>
    </w:p>
    <w:p w14:paraId="458BBAA5" w14:textId="77777777" w:rsidR="00452489" w:rsidRDefault="00000000">
      <w:r>
        <w:t xml:space="preserve">We used </w:t>
      </w:r>
      <w:proofErr w:type="spellStart"/>
      <w:r>
        <w:t>mSigHdp</w:t>
      </w:r>
      <w:proofErr w:type="spellEnd"/>
      <w:r>
        <w:t xml:space="preserve"> (v 2.1.2) for de novo mutational signature extraction analysis. When applying to all samples de novo mutational signatures were extracted using the cancer type to construct the hierarchy; when applying to </w:t>
      </w:r>
      <w:r>
        <w:rPr>
          <w:rFonts w:hint="eastAsia"/>
        </w:rPr>
        <w:t>genomes</w:t>
      </w:r>
      <w:r>
        <w:t xml:space="preserve"> of each cancer type</w:t>
      </w:r>
      <w:r>
        <w:rPr>
          <w:rFonts w:hint="eastAsia"/>
        </w:rPr>
        <w:t xml:space="preserve"> and high TMB genomes</w:t>
      </w:r>
      <w:r>
        <w:t xml:space="preserve">, the de novo mutational signatures were extracted with 2-layer HDP mixture models. In both </w:t>
      </w:r>
      <w:proofErr w:type="gramStart"/>
      <w:r>
        <w:t>scenario</w:t>
      </w:r>
      <w:proofErr w:type="gramEnd"/>
      <w:r>
        <w:t>, we used the following parameters</w:t>
      </w:r>
      <w:proofErr w:type="gramStart"/>
      <w:r>
        <w:t xml:space="preserve">:  </w:t>
      </w:r>
      <w:proofErr w:type="spellStart"/>
      <w:r>
        <w:t>seedNumber</w:t>
      </w:r>
      <w:proofErr w:type="spellEnd"/>
      <w:proofErr w:type="gramEnd"/>
      <w:r>
        <w:t xml:space="preserve">=1234, </w:t>
      </w:r>
      <w:proofErr w:type="spellStart"/>
      <w:r>
        <w:t>burnin</w:t>
      </w:r>
      <w:proofErr w:type="spellEnd"/>
      <w:r>
        <w:t xml:space="preserve">=1000, </w:t>
      </w:r>
      <w:proofErr w:type="spellStart"/>
      <w:proofErr w:type="gramStart"/>
      <w:r>
        <w:t>bunin.multiplier</w:t>
      </w:r>
      <w:proofErr w:type="spellEnd"/>
      <w:proofErr w:type="gramEnd"/>
      <w:r>
        <w:t xml:space="preserve">=20, </w:t>
      </w:r>
      <w:proofErr w:type="spellStart"/>
      <w:proofErr w:type="gramStart"/>
      <w:r>
        <w:t>post.n</w:t>
      </w:r>
      <w:proofErr w:type="spellEnd"/>
      <w:proofErr w:type="gramEnd"/>
      <w:r>
        <w:t xml:space="preserve"> = 200, </w:t>
      </w:r>
      <w:proofErr w:type="spellStart"/>
      <w:proofErr w:type="gramStart"/>
      <w:r>
        <w:t>post.space</w:t>
      </w:r>
      <w:proofErr w:type="spellEnd"/>
      <w:proofErr w:type="gramEnd"/>
      <w:r>
        <w:t xml:space="preserve"> = 100, </w:t>
      </w:r>
      <w:proofErr w:type="spellStart"/>
      <w:proofErr w:type="gramStart"/>
      <w:r>
        <w:t>num.child</w:t>
      </w:r>
      <w:proofErr w:type="gramEnd"/>
      <w:r>
        <w:t>.process</w:t>
      </w:r>
      <w:proofErr w:type="spellEnd"/>
      <w:r>
        <w:t xml:space="preserve">=20, </w:t>
      </w:r>
      <w:proofErr w:type="spellStart"/>
      <w:proofErr w:type="gramStart"/>
      <w:r>
        <w:t>gamma.alpha</w:t>
      </w:r>
      <w:proofErr w:type="spellEnd"/>
      <w:proofErr w:type="gramEnd"/>
      <w:r>
        <w:t xml:space="preserve">=1, </w:t>
      </w:r>
      <w:proofErr w:type="spellStart"/>
      <w:proofErr w:type="gramStart"/>
      <w:r>
        <w:t>gamma.beta</w:t>
      </w:r>
      <w:proofErr w:type="spellEnd"/>
      <w:proofErr w:type="gramEnd"/>
      <w:r>
        <w:t>=</w:t>
      </w:r>
      <w:r>
        <w:rPr>
          <w:rFonts w:hint="eastAsia"/>
        </w:rPr>
        <w:t>50</w:t>
      </w:r>
      <w:r>
        <w:t xml:space="preserve">. </w:t>
      </w:r>
    </w:p>
    <w:p w14:paraId="1C841932" w14:textId="77777777" w:rsidR="00452489" w:rsidRDefault="00000000">
      <w:r>
        <w:t xml:space="preserve">For </w:t>
      </w:r>
      <w:proofErr w:type="spellStart"/>
      <w:r>
        <w:t>SigProfilerExtractor</w:t>
      </w:r>
      <w:proofErr w:type="spellEnd"/>
      <w:r>
        <w:t xml:space="preserve">, </w:t>
      </w:r>
      <w:r>
        <w:rPr>
          <w:i/>
          <w:iCs/>
        </w:rPr>
        <w:t>de novo</w:t>
      </w:r>
      <w:r>
        <w:t xml:space="preserve"> mutational signatures were extracted from each mutational matrix using </w:t>
      </w:r>
      <w:proofErr w:type="spellStart"/>
      <w:r>
        <w:t>SigProfilerExtractor</w:t>
      </w:r>
      <w:proofErr w:type="spellEnd"/>
      <w:r>
        <w:t xml:space="preserve"> and default parameters (v1.1.24). NMF was performed with finding solutions between k = 10 and k = 30 signatures; each factorization was repeated 100 times.</w:t>
      </w:r>
      <w:r>
        <w:rPr>
          <w:rFonts w:hint="eastAsia"/>
        </w:rPr>
        <w:t xml:space="preserve"> We ran </w:t>
      </w:r>
      <w:proofErr w:type="spellStart"/>
      <w:r>
        <w:rPr>
          <w:rFonts w:hint="eastAsia"/>
        </w:rPr>
        <w:t>MuSiCal</w:t>
      </w:r>
      <w:proofErr w:type="spellEnd"/>
      <w:r>
        <w:rPr>
          <w:rFonts w:hint="eastAsia"/>
        </w:rPr>
        <w:t xml:space="preserve"> with the following parameters: </w:t>
      </w:r>
      <w:proofErr w:type="spellStart"/>
      <w:r>
        <w:rPr>
          <w:rFonts w:hint="eastAsia"/>
        </w:rPr>
        <w:t>min_n_components</w:t>
      </w:r>
      <w:proofErr w:type="spellEnd"/>
      <w:r>
        <w:rPr>
          <w:rFonts w:hint="eastAsia"/>
        </w:rPr>
        <w:t xml:space="preserve">=9, </w:t>
      </w:r>
      <w:proofErr w:type="spellStart"/>
      <w:r>
        <w:rPr>
          <w:rFonts w:hint="eastAsia"/>
        </w:rPr>
        <w:t>max_n_components</w:t>
      </w:r>
      <w:proofErr w:type="spellEnd"/>
      <w:r>
        <w:rPr>
          <w:rFonts w:hint="eastAsia"/>
        </w:rPr>
        <w:t>=33, method=</w:t>
      </w:r>
      <w:r>
        <w:rPr>
          <w:rFonts w:hint="eastAsia"/>
        </w:rPr>
        <w:t>“</w:t>
      </w:r>
      <w:proofErr w:type="spellStart"/>
      <w:r>
        <w:rPr>
          <w:rFonts w:hint="eastAsia"/>
        </w:rPr>
        <w:t>mvnmf</w:t>
      </w:r>
      <w:proofErr w:type="spellEnd"/>
      <w:r>
        <w:rPr>
          <w:rFonts w:hint="eastAsia"/>
        </w:rPr>
        <w:t>”</w:t>
      </w:r>
      <w:r>
        <w:rPr>
          <w:rFonts w:hint="eastAsia"/>
        </w:rPr>
        <w:t xml:space="preserve">, </w:t>
      </w:r>
      <w:proofErr w:type="spellStart"/>
      <w:r>
        <w:rPr>
          <w:rFonts w:hint="eastAsia"/>
        </w:rPr>
        <w:t>n_replicates</w:t>
      </w:r>
      <w:proofErr w:type="spellEnd"/>
      <w:r>
        <w:rPr>
          <w:rFonts w:hint="eastAsia"/>
        </w:rPr>
        <w:t xml:space="preserve">=100, </w:t>
      </w:r>
      <w:proofErr w:type="spellStart"/>
      <w:r>
        <w:rPr>
          <w:rFonts w:hint="eastAsia"/>
        </w:rPr>
        <w:t>max_iter</w:t>
      </w:r>
      <w:proofErr w:type="spellEnd"/>
      <w:r>
        <w:rPr>
          <w:rFonts w:hint="eastAsia"/>
        </w:rPr>
        <w:t xml:space="preserve">=10000, </w:t>
      </w:r>
      <w:proofErr w:type="spellStart"/>
      <w:r>
        <w:rPr>
          <w:rFonts w:hint="eastAsia"/>
        </w:rPr>
        <w:t>min_iter</w:t>
      </w:r>
      <w:proofErr w:type="spellEnd"/>
      <w:r>
        <w:rPr>
          <w:rFonts w:hint="eastAsia"/>
        </w:rPr>
        <w:t>=1000.</w:t>
      </w:r>
    </w:p>
    <w:p w14:paraId="12C7510F" w14:textId="77777777" w:rsidR="00452489" w:rsidRDefault="00000000">
      <w:r>
        <w:t xml:space="preserve">Match </w:t>
      </w:r>
      <w:proofErr w:type="spellStart"/>
      <w:r>
        <w:t>mSigHdp</w:t>
      </w:r>
      <w:proofErr w:type="spellEnd"/>
      <w:r>
        <w:t xml:space="preserve"> signatures into COSMIC reference signatures</w:t>
      </w:r>
    </w:p>
    <w:p w14:paraId="037D6147" w14:textId="77777777" w:rsidR="00452489" w:rsidRDefault="00000000">
      <w:r>
        <w:t xml:space="preserve">The </w:t>
      </w:r>
      <w:proofErr w:type="spellStart"/>
      <w:r>
        <w:t>mSigHdp</w:t>
      </w:r>
      <w:proofErr w:type="spellEnd"/>
      <w:r>
        <w:t xml:space="preserve"> signatures were matched to previously identified COSMIC signatures (v3.4). We compared all de novo signatures to COSMIC signatures and categorized them into three groups: (1) known signature: if a </w:t>
      </w:r>
      <w:proofErr w:type="spellStart"/>
      <w:r>
        <w:t>mSigHdp</w:t>
      </w:r>
      <w:proofErr w:type="spellEnd"/>
      <w:r>
        <w:t xml:space="preserve"> signature has a cosine similarity of ≥ 0.</w:t>
      </w:r>
      <w:r>
        <w:rPr>
          <w:rFonts w:hint="eastAsia"/>
        </w:rPr>
        <w:t>85</w:t>
      </w:r>
      <w:r>
        <w:t xml:space="preserve"> with a COSMIC signature; (2) merged signatures: if a </w:t>
      </w:r>
      <w:proofErr w:type="spellStart"/>
      <w:r>
        <w:t>mSigHdp</w:t>
      </w:r>
      <w:proofErr w:type="spellEnd"/>
      <w:r>
        <w:t xml:space="preserve"> signatures can be reconstructed by at </w:t>
      </w:r>
      <w:r>
        <w:lastRenderedPageBreak/>
        <w:t xml:space="preserve">most </w:t>
      </w:r>
      <w:r>
        <w:rPr>
          <w:rFonts w:hint="eastAsia"/>
        </w:rPr>
        <w:t>3</w:t>
      </w:r>
      <w:r>
        <w:t xml:space="preserve"> COSMIC signatures with a reconstructed similarity of ≥ 0.</w:t>
      </w:r>
      <w:r>
        <w:rPr>
          <w:rFonts w:hint="eastAsia"/>
        </w:rPr>
        <w:t>9</w:t>
      </w:r>
      <w:r>
        <w:t xml:space="preserve">; (3) novel signatures: the signatures do not fit into the known signatures or the merged signatures. </w:t>
      </w:r>
    </w:p>
    <w:p w14:paraId="7C099670" w14:textId="77777777" w:rsidR="00452489" w:rsidRDefault="00000000">
      <w:pPr>
        <w:pStyle w:val="Heading2"/>
      </w:pPr>
      <w:r>
        <w:t>Signature attribution analysis</w:t>
      </w:r>
    </w:p>
    <w:p w14:paraId="16DD48FE" w14:textId="77777777" w:rsidR="00452489" w:rsidRDefault="00000000">
      <w:pPr>
        <w:pStyle w:val="normalfirst"/>
      </w:pPr>
      <w:r>
        <w:t xml:space="preserve">The </w:t>
      </w:r>
      <w:r>
        <w:rPr>
          <w:rFonts w:hint="eastAsia"/>
        </w:rPr>
        <w:t>83-type and 89-type</w:t>
      </w:r>
      <w:r>
        <w:t xml:space="preserve"> signature activities were attributed to each sample using a two-step approach: first, we used </w:t>
      </w:r>
      <w:proofErr w:type="spellStart"/>
      <w:r>
        <w:t>find_best_reconstruction_QP</w:t>
      </w:r>
      <w:proofErr w:type="spellEnd"/>
      <w:r>
        <w:t xml:space="preserve"> function of </w:t>
      </w:r>
      <w:proofErr w:type="spellStart"/>
      <w:r>
        <w:t>SigTools</w:t>
      </w:r>
      <w:proofErr w:type="spellEnd"/>
      <w:r>
        <w:t xml:space="preserve"> R package (v1.0.7) to which provides a fast signature attribution analysis with quadratic programming optimization; second, we used the </w:t>
      </w:r>
      <w:proofErr w:type="spellStart"/>
      <w:r>
        <w:t>PresenceAttributeSigActivity</w:t>
      </w:r>
      <w:proofErr w:type="spellEnd"/>
      <w:r>
        <w:t xml:space="preserve"> function and default parameters in </w:t>
      </w:r>
      <w:proofErr w:type="spellStart"/>
      <w:r>
        <w:t>mSigAct</w:t>
      </w:r>
      <w:proofErr w:type="spellEnd"/>
      <w:r>
        <w:t xml:space="preserve"> R package (v3.0.1) to further refined the result from the previous step. </w:t>
      </w:r>
    </w:p>
    <w:p w14:paraId="4245E6F4" w14:textId="77777777" w:rsidR="00452489" w:rsidRDefault="00000000">
      <w:pPr>
        <w:pStyle w:val="Heading2"/>
      </w:pPr>
      <w:r>
        <w:t>Simulating synthetic cancer datasets</w:t>
      </w:r>
    </w:p>
    <w:p w14:paraId="0EB9FEB4" w14:textId="77777777" w:rsidR="00452489" w:rsidRDefault="00000000">
      <w:pPr>
        <w:pStyle w:val="normalfirst"/>
      </w:pPr>
      <w:r>
        <w:t xml:space="preserve">Synthetic cancer datasets were simulated using </w:t>
      </w:r>
      <w:proofErr w:type="spellStart"/>
      <w:r>
        <w:t>SigProfilerSimulator</w:t>
      </w:r>
      <w:proofErr w:type="spellEnd"/>
      <w:r>
        <w:t xml:space="preserve"> (</w:t>
      </w:r>
      <w:hyperlink r:id="rId17">
        <w:r w:rsidR="00452489">
          <w:rPr>
            <w:rStyle w:val="Hyperlink"/>
          </w:rPr>
          <w:t>https://bmcbioinformatics.biomedcentral.com/articles/10.1186/s12859-020-03772-3</w:t>
        </w:r>
      </w:hyperlink>
      <w:r>
        <w:t xml:space="preserve">). </w:t>
      </w:r>
    </w:p>
    <w:p w14:paraId="106CEDA0" w14:textId="77777777" w:rsidR="00452489" w:rsidRDefault="00000000">
      <w:pPr>
        <w:pStyle w:val="Heading2"/>
      </w:pPr>
      <w:r>
        <w:t>Annotating somatic indels based on transcribed versus un-transcribed strand</w:t>
      </w:r>
    </w:p>
    <w:p w14:paraId="3DE4C960" w14:textId="77777777" w:rsidR="00452489" w:rsidRDefault="00000000">
      <w:pPr>
        <w:pStyle w:val="normalfirst"/>
      </w:pPr>
      <w:r>
        <w:t>We followed the method in (</w:t>
      </w:r>
      <w:hyperlink r:id="rId18">
        <w:r w:rsidR="00452489">
          <w:t>https://doi.org/10.1016/j.celrep.2023.112930</w:t>
        </w:r>
      </w:hyperlink>
      <w:r>
        <w:t xml:space="preserve">). </w:t>
      </w:r>
      <w:proofErr w:type="gramStart"/>
      <w:r>
        <w:t>Briefly</w:t>
      </w:r>
      <w:proofErr w:type="gramEnd"/>
      <w:r>
        <w:t xml:space="preserve"> somatic indels were called with respect to the + strand of the reference genome and further annotated </w:t>
      </w:r>
      <w:proofErr w:type="gramStart"/>
      <w:r>
        <w:t>in regard to</w:t>
      </w:r>
      <w:proofErr w:type="gramEnd"/>
      <w:r>
        <w:t xml:space="preserve">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0D0E2ED6" w14:textId="77777777" w:rsidR="00452489" w:rsidRDefault="00000000">
      <w:pPr>
        <w:pStyle w:val="Heading2"/>
      </w:pPr>
      <w:r>
        <w:lastRenderedPageBreak/>
        <w:t>Annotating somatic indels based on leading versus lagging replication strand</w:t>
      </w:r>
    </w:p>
    <w:p w14:paraId="74277BBD" w14:textId="77777777" w:rsidR="00452489" w:rsidRDefault="00000000">
      <w:pPr>
        <w:pStyle w:val="normalfirst"/>
      </w:pPr>
      <w:r>
        <w:t>Replication strand was determined by wavelet-smoothed replication-timing signal data that indicated both “valleys” (replication termination zones) and “peaks” (replication initiation zones) (</w:t>
      </w:r>
      <w:hyperlink r:id="rId19">
        <w:r w:rsidR="00452489">
          <w:rPr>
            <w:rStyle w:val="Hyperlink"/>
          </w:rPr>
          <w:t>https://hgdownload.cse.ucsc.edu/goldenPath/hg19/encodeDCC/wgEncodeUwRepliSeq/</w:t>
        </w:r>
      </w:hyperlink>
      <w:r>
        <w:t xml:space="preserve">). Valleys and peaks were sorted by the genomic coordinate in ascending order. </w:t>
      </w:r>
      <w:proofErr w:type="gramStart"/>
      <w:r>
        <w:t>In regard to</w:t>
      </w:r>
      <w:proofErr w:type="gramEnd"/>
      <w:r>
        <w:t xml:space="preserve"> + strand of the reference genome, replication timing </w:t>
      </w:r>
      <w:proofErr w:type="gramStart"/>
      <w:r>
        <w:t>signal</w:t>
      </w:r>
      <w:proofErr w:type="gramEnd"/>
      <w:r>
        <w:t xml:space="preserve"> were examined for consecutive stretches of the genome (from valley to peak or form peak to valley), with positive slope </w:t>
      </w:r>
      <w:proofErr w:type="gramStart"/>
      <w:r>
        <w:t>corresponded</w:t>
      </w:r>
      <w:proofErr w:type="gramEnd"/>
      <w:r>
        <w:t xml:space="preserve"> to leading strand regions and negative slope </w:t>
      </w:r>
      <w:proofErr w:type="gramStart"/>
      <w:r>
        <w:t>corresponded</w:t>
      </w:r>
      <w:proofErr w:type="gramEnd"/>
      <w:r>
        <w:t xml:space="preserve"> to lagging strand regions. Then for the - strand of the reference genome, leading regions (- slope) and lagging regions (+slope) were automatically acquired. </w:t>
      </w:r>
      <w:proofErr w:type="gramStart"/>
      <w:r>
        <w:t>Similar to</w:t>
      </w:r>
      <w:proofErr w:type="gramEnd"/>
      <w:r>
        <w:t xml:space="preserve"> the annotation for transcription, indels were first annotated as + or – strand mutations based on the pyrimidine bases. Next, indels were counted as being on leading strand or lagging strand based on their occupancy in a leading or lagging region.</w:t>
      </w:r>
    </w:p>
    <w:p w14:paraId="29C3041D" w14:textId="77777777" w:rsidR="00452489" w:rsidRDefault="00000000">
      <w:pPr>
        <w:pStyle w:val="Heading2"/>
      </w:pPr>
      <w:r>
        <w:t>Detecting strand asymmetries across cancer types</w:t>
      </w:r>
    </w:p>
    <w:p w14:paraId="39818927" w14:textId="77777777" w:rsidR="00452489" w:rsidRDefault="00000000">
      <w:pPr>
        <w:pStyle w:val="normalfirst"/>
      </w:pPr>
      <w: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397774FC" w14:textId="77777777" w:rsidR="00452489" w:rsidRDefault="00000000">
      <w:r>
        <w:t xml:space="preserve">For each strand asymmetry </w:t>
      </w:r>
      <w:proofErr w:type="gramStart"/>
      <w:r>
        <w:t>analyses</w:t>
      </w:r>
      <w:proofErr w:type="gramEnd"/>
      <w:r>
        <w:t xml:space="preserve">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w:t>
      </w:r>
      <w:r>
        <w:lastRenderedPageBreak/>
        <w:t>mutations strand mutations in all three cases. The ratio of real somatic indels and the ratio of simulated somatic indels was calculated separately:</w:t>
      </w:r>
    </w:p>
    <w:p w14:paraId="36CFBCE4" w14:textId="77777777" w:rsidR="00452489" w:rsidRDefault="00452489"/>
    <w:p w14:paraId="5A8E4C65" w14:textId="77777777" w:rsidR="00452489" w:rsidRDefault="00000000">
      <w:r>
        <w:t>Odds ratio between the ratio of real somatic indels and the ratio of simulated somatic indels was calculated:</w:t>
      </w:r>
    </w:p>
    <w:p w14:paraId="2015A92B" w14:textId="77777777" w:rsidR="00452489" w:rsidRDefault="00452489"/>
    <w:p w14:paraId="7A078E5D" w14:textId="77777777" w:rsidR="00452489" w:rsidRDefault="00000000">
      <w:proofErr w:type="gramStart"/>
      <w:r>
        <w:t>p values</w:t>
      </w:r>
      <w:proofErr w:type="gramEnd"/>
      <w:r>
        <w:t xml:space="preserve"> were calculated for the odds ratio using Fisher’s exact test. Only strand asymmetries with p value &gt; 0.05 were considered showing strand asymmetries.</w:t>
      </w:r>
    </w:p>
    <w:p w14:paraId="0EED8B63" w14:textId="77777777" w:rsidR="00452489" w:rsidRDefault="00000000">
      <w:pPr>
        <w:pStyle w:val="Heading2"/>
      </w:pPr>
      <w:r>
        <w:t>Analyses of replication timing across cancer types</w:t>
      </w:r>
    </w:p>
    <w:p w14:paraId="4A090358" w14:textId="77777777" w:rsidR="00452489" w:rsidRDefault="00000000">
      <w:pPr>
        <w:pStyle w:val="normalfirst"/>
      </w:pPr>
      <w:r>
        <w:t>Replication timing data were obtained from (</w:t>
      </w:r>
      <w:hyperlink r:id="rId20">
        <w:r w:rsidR="00452489">
          <w:rPr>
            <w:rStyle w:val="Hyperlink"/>
          </w:rPr>
          <w:t>https://genomebiology.biomedcentral.com/articles/10.1186/s13059-018-1509-y</w:t>
        </w:r>
      </w:hyperlink>
      <w: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14:paraId="56D23184" w14:textId="77777777" w:rsidR="00452489" w:rsidRDefault="00000000">
      <w: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proofErr w:type="gramStart"/>
      <w:r>
        <w:t>R(</w:t>
      </w:r>
      <w:proofErr w:type="gramEnd"/>
      <w:r>
        <w:t>X</w:t>
      </w:r>
      <w:r>
        <w:rPr>
          <w:vertAlign w:val="subscript"/>
        </w:rPr>
        <w:t>1</w:t>
      </w:r>
      <w:r>
        <w:t>, X</w:t>
      </w:r>
      <w:r>
        <w:rPr>
          <w:vertAlign w:val="subscript"/>
        </w:rPr>
        <w:t>2</w:t>
      </w:r>
      <w:r>
        <w:t>, X</w:t>
      </w:r>
      <w:r>
        <w:rPr>
          <w:vertAlign w:val="subscript"/>
        </w:rPr>
        <w:t>3</w:t>
      </w:r>
      <w:r>
        <w:t>, … X</w:t>
      </w:r>
      <w:r>
        <w:rPr>
          <w:vertAlign w:val="subscript"/>
        </w:rPr>
        <w:t>10</w:t>
      </w:r>
      <w:r>
        <w:t xml:space="preserve">) and the values of simulated somatic indel counts </w:t>
      </w:r>
      <w:proofErr w:type="gramStart"/>
      <w:r>
        <w:t>S(</w:t>
      </w:r>
      <w:proofErr w:type="gramEnd"/>
      <w:r>
        <w:t>X</w:t>
      </w:r>
      <w:r>
        <w:rPr>
          <w:vertAlign w:val="subscript"/>
        </w:rPr>
        <w:t>1</w:t>
      </w:r>
      <w:r>
        <w:t>, X</w:t>
      </w:r>
      <w:r>
        <w:rPr>
          <w:vertAlign w:val="subscript"/>
        </w:rPr>
        <w:t>2</w:t>
      </w:r>
      <w:r>
        <w:t>, X</w:t>
      </w:r>
      <w:r>
        <w:rPr>
          <w:vertAlign w:val="subscript"/>
        </w:rPr>
        <w:t>3</w:t>
      </w:r>
      <w:r>
        <w:t>, … X</w:t>
      </w:r>
      <w:r>
        <w:rPr>
          <w:vertAlign w:val="subscript"/>
        </w:rPr>
        <w:t>10</w:t>
      </w:r>
      <w:r>
        <w:t>), respectively.</w:t>
      </w:r>
    </w:p>
    <w:p w14:paraId="58C27A08" w14:textId="77777777" w:rsidR="00452489" w:rsidRDefault="00452489"/>
    <w:p w14:paraId="37D06005" w14:textId="77777777" w:rsidR="00452489" w:rsidRDefault="00452489"/>
    <w:p w14:paraId="500074DC" w14:textId="77777777" w:rsidR="00452489" w:rsidRDefault="00000000">
      <w:r>
        <w:t xml:space="preserve">In the above formula, replication timing denotes a vector </w:t>
      </w:r>
      <w:proofErr w:type="gramStart"/>
      <w:r>
        <w:t>c(</w:t>
      </w:r>
      <w:proofErr w:type="gramEnd"/>
      <w:r>
        <w:t>1,2,3 … 10).</w:t>
      </w:r>
    </w:p>
    <w:p w14:paraId="3C8FFBFB" w14:textId="77777777" w:rsidR="00452489" w:rsidRDefault="00000000">
      <w:r>
        <w:t xml:space="preserve">The replication timing trend for an ID signature was determined for both real and simulated data. An ID signature </w:t>
      </w:r>
      <w:proofErr w:type="gramStart"/>
      <w:r>
        <w:t>was considered to be</w:t>
      </w:r>
      <w:proofErr w:type="gramEnd"/>
      <w:r>
        <w:t xml:space="preserve"> generally unaffected by replication timing if the slope m was not statistically significant from a flat line. Otherwise, with the slope m statistically significant from a flat line, an ID signature </w:t>
      </w:r>
      <w:proofErr w:type="gramStart"/>
      <w:r>
        <w:t>was considered to be</w:t>
      </w:r>
      <w:proofErr w:type="gramEnd"/>
      <w:r>
        <w:t xml:space="preserve"> increasing from early to late replicating regions if the slope m &gt; </w:t>
      </w:r>
      <w:proofErr w:type="gramStart"/>
      <w:r>
        <w:t>0, and</w:t>
      </w:r>
      <w:proofErr w:type="gramEnd"/>
      <w:r>
        <w:t xml:space="preserve"> </w:t>
      </w:r>
      <w:proofErr w:type="gramStart"/>
      <w:r>
        <w:t>was considered to be</w:t>
      </w:r>
      <w:proofErr w:type="gramEnd"/>
      <w:r>
        <w:t xml:space="preserve"> decreasing from early to late replicating regions if the slope m &lt; 0. </w:t>
      </w:r>
    </w:p>
    <w:p w14:paraId="7AC2A0C6" w14:textId="77777777" w:rsidR="00452489" w:rsidRDefault="00000000">
      <w:r>
        <w:t xml:space="preserve">If the trends of a certain ID signature for the two </w:t>
      </w:r>
      <w:proofErr w:type="gramStart"/>
      <w:r>
        <w:t>dataset</w:t>
      </w:r>
      <w:proofErr w:type="gramEnd"/>
      <w:r>
        <w:t xml:space="preserve"> (real and simulated data) were different, the relative trend for real data comparing the simulated data was the final trend for the ID signature. Otherwise, if the trends of a certain ID signature for the two </w:t>
      </w:r>
      <w:proofErr w:type="gramStart"/>
      <w:r>
        <w:t>dataset</w:t>
      </w:r>
      <w:proofErr w:type="gramEnd"/>
      <w:r>
        <w:t xml:space="preserve"> were the same, a third multiple linear regression model was fitted. </w:t>
      </w:r>
    </w:p>
    <w:p w14:paraId="179ECEE8" w14:textId="77777777" w:rsidR="00452489" w:rsidRDefault="00452489"/>
    <w:p w14:paraId="4274613D" w14:textId="77777777" w:rsidR="00452489" w:rsidRDefault="00000000">
      <w:r>
        <w:t xml:space="preserve">Similarly, the final trend of an ID signature </w:t>
      </w:r>
      <w:proofErr w:type="gramStart"/>
      <w:r>
        <w:t>were</w:t>
      </w:r>
      <w:proofErr w:type="gramEnd"/>
      <w:r>
        <w:t xml:space="preserve"> determined by the significance of the coefficient of replication timing. If it is not significant, an ID signature </w:t>
      </w:r>
      <w:proofErr w:type="gramStart"/>
      <w:r>
        <w:t>was considered to be</w:t>
      </w:r>
      <w:proofErr w:type="gramEnd"/>
      <w:r>
        <w:t xml:space="preserve"> generally unaffected by replication timing. Otherwise, if the coefficient of replication timing &gt; 0, an ID signature </w:t>
      </w:r>
      <w:proofErr w:type="gramStart"/>
      <w:r>
        <w:t>was considered to be</w:t>
      </w:r>
      <w:proofErr w:type="gramEnd"/>
      <w:r>
        <w:t xml:space="preserve"> increasing from early to late replicating regions; if the coefficient of replication timing &lt; 0, an ID signature </w:t>
      </w:r>
      <w:proofErr w:type="gramStart"/>
      <w:r>
        <w:t>was considered to be</w:t>
      </w:r>
      <w:proofErr w:type="gramEnd"/>
      <w:r>
        <w:t xml:space="preserve"> decreasing from early to late replicating regions.</w:t>
      </w:r>
    </w:p>
    <w:p w14:paraId="05C33B87" w14:textId="77777777" w:rsidR="00452489" w:rsidRDefault="00000000">
      <w:pPr>
        <w:pStyle w:val="Heading2"/>
      </w:pPr>
      <w:r>
        <w:lastRenderedPageBreak/>
        <w:t>sgRNA design and Plasmid construction</w:t>
      </w:r>
    </w:p>
    <w:p w14:paraId="2DCF5FC5" w14:textId="77777777" w:rsidR="00452489" w:rsidRDefault="00000000">
      <w:pPr>
        <w:pStyle w:val="normalfirst"/>
      </w:pPr>
      <w:r>
        <w:t xml:space="preserve">Exon 1 human </w:t>
      </w:r>
      <w:bookmarkStart w:id="2" w:name="_Hlk191059301"/>
      <w:r>
        <w:t>RNASEH2b</w:t>
      </w:r>
      <w:bookmarkEnd w:id="2"/>
      <w:r>
        <w:t xml:space="preserve"> gene was selected for targeting. sgR</w:t>
      </w:r>
      <w:r>
        <w:rPr>
          <w:rFonts w:hint="eastAsia"/>
        </w:rPr>
        <w:t>NA</w:t>
      </w:r>
      <w:r>
        <w:t xml:space="preserve"> for double-strand breaks was designed by online software (http://tools.genome-engineering.org). The sequences of targets are sgRNA1 ACCACTAGCGGAGCCGCGA and sgRNA2</w:t>
      </w:r>
      <w:r>
        <w:rPr>
          <w:rFonts w:hint="eastAsia"/>
        </w:rPr>
        <w:t xml:space="preserve"> </w:t>
      </w:r>
      <w:r>
        <w:t xml:space="preserve">GCCGGTCATCATCCACACGG. px330A-GFP and px330-S2 plasmids were gifts from Shang Li’s laboratory followed by the published protocol </w:t>
      </w:r>
      <w:r>
        <w:fldChar w:fldCharType="begin"/>
      </w:r>
      <w:r>
        <w:instrText>ADDIN ZOTERO_ITEM CSL_CITATION {"citationID":"bNYsDeYf","properties":{"formattedCitation":"(Ramlee et al. 2015)","plainCitation":"(Ramlee et al. 2015)","noteIndex":0},"citationItems":[{"id":"LB8OR9DJ/08wEpBOz","uris":["http://zotero.org/users/14858941/items/UGKVPCEC"],"itemData":{"id":946,"type":"article-journal","abstract":"Abstract\n            \n              Recent advances in the engineering of sequence-specific synthetic nucleases provide enormous opportunities for genetic manipulation of gene expression in order to study their cellular function\n              in vivo\n              . However, current genotyping methods to detect these programmable nuclease-induced insertion/deletion (indel) mutations in targeted human cells are not compatible for high-throughput screening of knockout clones due to inherent limitations and high cost. Here, we describe an efficient method of genotyping clonal CRISPR/Cas9-mediated mutants in a high-throughput manner involving the use of a direct lysis buffer to extract crude genomic DNA straight from cells in culture and fluorescent PCR coupled with capillary gel electrophoresis. This technique also allows for genotyping of multiplexed gene targeting in a single clone. Overall, this time- and cost-saving technique is able to circumvent the limitations of current genotyping methods and support high-throughput screening of nuclease-induced mutants.","container-title":"Scientific Reports","DOI":"10.1038/srep15587","ISSN":"2045-2322","issue":"1","journalAbbreviation":"Sci Rep","language":"en","page":"15587","source":"DOI.org (Crossref)","title":"High-throughput genotyping of CRISPR/Cas9-mediated mutants using fluorescent PCR-capillary gel electrophoresis","volume":"5","author":[{"family":"Ramlee","given":"Muhammad Khairul"},{"family":"Yan","given":"Tingdong"},{"family":"Cheung","given":"Alice M. S."},{"family":"Chuah","given":"Charles T. H."},{"family":"Li","given":"Shang"}],"issued":{"date-parts":[["2015",10,26]]}}}],"schema":"https://github.com/citation-style-language/schema/raw/master/csl-citation.json"}</w:instrText>
      </w:r>
      <w:r>
        <w:fldChar w:fldCharType="separate"/>
      </w:r>
      <w:r>
        <w:t>(Ramlee et al. 2015)</w:t>
      </w:r>
      <w:r>
        <w:fldChar w:fldCharType="end"/>
      </w:r>
      <w:r>
        <w:t>. Briefly, top and bottom strand primers were phosphorylating and annealing using T4 PNK from NEB (New England Biolabs, cat M0201S). Cloning of the annealed two sgRNA inserts into px330A-GFP plasmid (sgRNA1) and px330-S2 plasmid (sgRNA2) respectively. Transforming the above-mentioned reactions into One Shot™ Stbl3™ Chemically Competent E. coli (</w:t>
      </w:r>
      <w:proofErr w:type="spellStart"/>
      <w:r>
        <w:t>Thermofisher</w:t>
      </w:r>
      <w:proofErr w:type="spellEnd"/>
      <w:r>
        <w:t xml:space="preserve"> scientific, Cat No C737303). Subsequently restrictive enzyme digesting of px330-S2-sgRNA2 plasmid with </w:t>
      </w:r>
      <w:proofErr w:type="spellStart"/>
      <w:r>
        <w:t>BsaI</w:t>
      </w:r>
      <w:proofErr w:type="spellEnd"/>
      <w:r>
        <w:t xml:space="preserve">-HF (New England Biolabs, cat NEB #R3535) and cloning the digested fragment containing sgRNA2 into px330A-GFP-sgRNA1 plasmid to form px330A-GFP sgRNA1&amp;sgRNA2 plasmid by the golden gate assembly. Plasmid DNA was extracted and purified by </w:t>
      </w:r>
      <w:proofErr w:type="spellStart"/>
      <w:r>
        <w:t>QIAprep</w:t>
      </w:r>
      <w:proofErr w:type="spellEnd"/>
      <w:r>
        <w:t xml:space="preserve"> Spin Miniprep Kit (Qiagen, Cat No. 27106) and sequenced to ensure the correct sgRNA sequences. </w:t>
      </w:r>
    </w:p>
    <w:p w14:paraId="0799C51D" w14:textId="77777777" w:rsidR="00452489" w:rsidRDefault="00000000">
      <w:pPr>
        <w:pStyle w:val="Heading2"/>
      </w:pPr>
      <w:r>
        <w:t xml:space="preserve">Cell culture and plasmid transfection </w:t>
      </w:r>
    </w:p>
    <w:p w14:paraId="312B9405" w14:textId="77777777" w:rsidR="00452489" w:rsidRDefault="00000000">
      <w:pPr>
        <w:pStyle w:val="normalfirst"/>
      </w:pPr>
      <w:r>
        <w:t xml:space="preserve">HEK293T cells were maintained in DMEM (Dulbecco's Modified Eagle Medium, Gibco™, Cat. No.11995065) containing 10% FBS (Gibco™ Fetal Bovine Serum, Cat. No. A5256801) and 1% Penicillin-Streptomycin (10,000 U/mL, Gibco™, Cat. No. 15140122) and incubated at 37°C incubator supplied with 5% CO2. Cells were seeded at 2× 105 cells per well of a 6-well plate and transfected with 2 </w:t>
      </w:r>
      <w:proofErr w:type="spellStart"/>
      <w:r>
        <w:t>μg</w:t>
      </w:r>
      <w:proofErr w:type="spellEnd"/>
      <w:r>
        <w:t xml:space="preserve"> of plasmid next day using Lipofectamine™ 3000 Transfection Reagent (Invitrogen™, Cat. No. L3000150) as per manufacturer’s recommendation. </w:t>
      </w:r>
    </w:p>
    <w:p w14:paraId="6FDA5D47" w14:textId="77777777" w:rsidR="00452489" w:rsidRDefault="00000000">
      <w:pPr>
        <w:pStyle w:val="Heading2"/>
      </w:pPr>
      <w:r>
        <w:rPr>
          <w:shd w:val="clear" w:color="auto" w:fill="FFFFFF"/>
        </w:rPr>
        <w:lastRenderedPageBreak/>
        <w:t>RNASEH2</w:t>
      </w:r>
      <w:r>
        <w:rPr>
          <w:rFonts w:hint="eastAsia"/>
          <w:shd w:val="clear" w:color="auto" w:fill="FFFFFF"/>
        </w:rPr>
        <w:t>B</w:t>
      </w:r>
      <w:r>
        <w:rPr>
          <w:shd w:val="clear" w:color="auto" w:fill="FFFFFF"/>
        </w:rPr>
        <w:t xml:space="preserve"> KO cells selection by direct Cell lysis PCR and </w:t>
      </w:r>
      <w:r>
        <w:t>Western blot</w:t>
      </w:r>
    </w:p>
    <w:p w14:paraId="2739685A" w14:textId="77777777" w:rsidR="00452489" w:rsidRDefault="00000000">
      <w:pPr>
        <w:pStyle w:val="normalfirst"/>
      </w:pPr>
      <w:r>
        <w:t xml:space="preserve">After 2 days of transfection, HEK293T cells were sorted to GFP-positive single cell into 96-well plate using </w:t>
      </w:r>
      <w:proofErr w:type="spellStart"/>
      <w:r>
        <w:t>FACSAria</w:t>
      </w:r>
      <w:proofErr w:type="spellEnd"/>
      <w:r>
        <w:t xml:space="preserve"> III (BD Biosciences). The single cell </w:t>
      </w:r>
      <w:proofErr w:type="gramStart"/>
      <w:r>
        <w:t>was continued</w:t>
      </w:r>
      <w:proofErr w:type="gramEnd"/>
      <w:r>
        <w:t xml:space="preserve"> to culture around 2 to 3 weeks in the 96-well plate until the colony could be visualized by eyes. Cell colonies were </w:t>
      </w:r>
      <w:proofErr w:type="spellStart"/>
      <w:r>
        <w:t>trypsinized</w:t>
      </w:r>
      <w:proofErr w:type="spellEnd"/>
      <w:r>
        <w:t xml:space="preserve"> by 10ul of 0.05% (1:10 dilution of 0.5% Trypsin-EDTA no phenol red, Gibco™, Cat. No.  15400054). Cell suspension was divided to half. Half of the cells were kept in culture. The </w:t>
      </w:r>
      <w:proofErr w:type="gramStart"/>
      <w:r>
        <w:t>rest half</w:t>
      </w:r>
      <w:proofErr w:type="gramEnd"/>
      <w:r>
        <w:t xml:space="preserve"> of cells </w:t>
      </w:r>
      <w:proofErr w:type="gramStart"/>
      <w:r>
        <w:t>was</w:t>
      </w:r>
      <w:proofErr w:type="gramEnd"/>
      <w:r>
        <w:t xml:space="preserve"> added to 10μl of Direct-Lyse lysis buffer (10mM Tris pH 8.0, 2.5mM EDTA, 0.2M NaCl, 0.15% SDS, 0.3% Tween-20) in PCR tube. The cells were then subjected to a series of heating and cooling to ensure complete lysis: 65 °C for 30s, 8 °C for 30s, 65 °C for 1.5min, 97 °C for 3min, 8 °C for 1min, 65 °C for 3min, 97 °C for 1min, 65 °C for 1min, and 80 °C for 10min</w:t>
      </w:r>
      <w:r>
        <w:rPr>
          <w:rFonts w:hint="eastAsia"/>
        </w:rPr>
        <w:t xml:space="preserve"> </w:t>
      </w:r>
      <w:r>
        <w:rPr>
          <w:rFonts w:hint="eastAsia"/>
        </w:rPr>
        <w:fldChar w:fldCharType="begin"/>
      </w:r>
      <w:r>
        <w:rPr>
          <w:rFonts w:hint="eastAsia"/>
        </w:rPr>
        <w:instrText>ADDIN ZOTERO_ITEM CSL_CITATION {"citationID":"WrvkQV9P","properties":{"formattedCitation":"(Joung et al. 2017)","plainCitation":"(Joung et al. 2017)","noteIndex":0},"citationItems":[{"id":"LB8OR9DJ/53Dijp62","uris":["http://zotero.org/users/14858941/items/UCSCKFFU"],"itemData":{"id":945,"type":"article-journal","abstract":"Forward genetic screens are powerful tools for the unbiased discovery and functional characterization of specific genetic elements associated with a phenotype of interest. Recently, the RNA-guided endonuclease Cas9 from the microbial CRISPR (clustered regularly interspaced short palindromic repeats) immune system has been adapted for genome-scale screening by combining Cas9 with pooled guide RNA libraries. Here we describe a protocol for genome-scale knockout and transcriptional activation screening using the CRISPR-Cas9 system. Custom- or ready-made guide RNA libraries are constructed and packaged into lentiviral vectors for delivery into cells for screening. As each screen is unique, we provide guidelines for determining screening parameters and maintaining sufficient coverage. To validate candidate genes identified from the screen, we further describe strategies for confirming the screening phenotype as well as genetic perturbation through analysis of indel rate and transcriptional activation. Beginning with library design, a genome-scale screen can be completed in 9</w:instrText>
      </w:r>
      <w:r>
        <w:rPr>
          <w:rFonts w:hint="eastAsia"/>
        </w:rPr>
        <w:instrText>–</w:instrText>
      </w:r>
      <w:r>
        <w:rPr>
          <w:rFonts w:hint="eastAsia"/>
        </w:rPr>
        <w:instrText>15 weeks followed by 4</w:instrText>
      </w:r>
      <w:r>
        <w:rPr>
          <w:rFonts w:hint="eastAsia"/>
        </w:rPr>
        <w:instrText>–</w:instrText>
      </w:r>
      <w:r>
        <w:rPr>
          <w:rFonts w:hint="eastAsia"/>
        </w:rPr>
        <w:instrText>5 weeks of validation.","container-title":"Nature Protocols","DOI":"10.1038/nprot.2017.016","ISSN":"1754-2189, 1750-2799","issue":"4","journalAbbreviation":"Nat Protoc","language":"en","page":"828-863","source":"DOI.org (Crossref)","title":"Genome-scale CRISPR-Cas9 knockout and transcriptional activation screening","volume":"12","author":[{"family":"Joung","given":"Julia"},{"family":"Konermann","given":"Silvana"},{"family":"Gootenberg","given":"Jonathan S"},{"family":"Abudayyeh","given":"Omar O"},{"family":"Platt","given":"Randall J"},{"family":"Brigham","given":"Mark D"},{"family":"Sanjana","given":"Neville E"},{"family":"Zhang","given":"Feng"}],"issued":{"date-parts":[["2017",4]]}}}],"schema":"https://github.com/citation-style-language/schema/raw/master/csl-citation.json"}</w:instrText>
      </w:r>
      <w:r>
        <w:rPr>
          <w:rFonts w:hint="eastAsia"/>
        </w:rPr>
        <w:fldChar w:fldCharType="separate"/>
      </w:r>
      <w:r>
        <w:t>(Joung et al. 2017)</w:t>
      </w:r>
      <w:r>
        <w:rPr>
          <w:rFonts w:hint="eastAsia"/>
        </w:rPr>
        <w:fldChar w:fldCharType="end"/>
      </w:r>
      <w:r>
        <w:t xml:space="preserve">. The lysates were then diluted with 40μl of water and cell lysis PCR was performed as regular PCR under the conditions: Initial denaturation, 5 min at 95 °C. Denaturation, 15 sec at 95 °C. Annealing, 15 sec at 58 °C. Extension, 15 sec at 72 °C for 28 cycles following final extension 10 min. Primers used for detected wild type RNASEH2b and knock-out RNASEH2b were RNASEH2B_Wt_Fwd-GCCCTGCTTCTGTGATCCTA, RNASEH2B_Wt_Rev-TCGCTTTGAACTACCCTTGG and RNASEH2B_ko_Fwd- CGCAGACCCAATCCTAGC, RNASEH2B_ko_Rev: TCCCTAGGCCAAATTCCTTT. Discard the cells which the PCR product only showed wild type band. Cells with completed knockout of RNASEH2b gene </w:t>
      </w:r>
      <w:proofErr w:type="gramStart"/>
      <w:r>
        <w:t>was</w:t>
      </w:r>
      <w:proofErr w:type="gramEnd"/>
      <w:r>
        <w:t xml:space="preserve"> confirmed by Western blot. 15 </w:t>
      </w:r>
      <w:proofErr w:type="spellStart"/>
      <w:r>
        <w:t>μg</w:t>
      </w:r>
      <w:proofErr w:type="spellEnd"/>
      <w:r>
        <w:t xml:space="preserve"> of whole cell lysis was used for immunoblotting (1:500 dilution of RNaseH2B Monoclonal Antibody cat. No. MA5-23523).</w:t>
      </w:r>
    </w:p>
    <w:p w14:paraId="60650C66" w14:textId="77777777" w:rsidR="00452489" w:rsidRDefault="00000000">
      <w:pPr>
        <w:pStyle w:val="Heading2"/>
      </w:pPr>
      <w:r>
        <w:lastRenderedPageBreak/>
        <w:t>Whole genome sequencing</w:t>
      </w:r>
      <w:r>
        <w:rPr>
          <w:rFonts w:hint="eastAsia"/>
        </w:rPr>
        <w:t xml:space="preserve"> of </w:t>
      </w:r>
      <w:r>
        <w:rPr>
          <w:shd w:val="clear" w:color="auto" w:fill="FFFFFF"/>
        </w:rPr>
        <w:t>RNASEH2</w:t>
      </w:r>
      <w:r>
        <w:rPr>
          <w:rFonts w:hint="eastAsia"/>
          <w:shd w:val="clear" w:color="auto" w:fill="FFFFFF"/>
        </w:rPr>
        <w:t>B</w:t>
      </w:r>
      <w:r>
        <w:rPr>
          <w:shd w:val="clear" w:color="auto" w:fill="FFFFFF"/>
        </w:rPr>
        <w:t xml:space="preserve"> KO cell</w:t>
      </w:r>
      <w:r>
        <w:rPr>
          <w:rFonts w:hint="eastAsia"/>
          <w:shd w:val="clear" w:color="auto" w:fill="FFFFFF"/>
        </w:rPr>
        <w:t xml:space="preserve"> clones</w:t>
      </w:r>
    </w:p>
    <w:p w14:paraId="1F999EBE" w14:textId="77777777" w:rsidR="00452489" w:rsidRDefault="00000000">
      <w:pPr>
        <w:pStyle w:val="normalfirst"/>
      </w:pPr>
      <w:r>
        <w:t>Genomic DNA of the completed knout out RNASEH2</w:t>
      </w:r>
      <w:r>
        <w:rPr>
          <w:rFonts w:hint="eastAsia"/>
        </w:rPr>
        <w:t>B</w:t>
      </w:r>
      <w:r>
        <w:t xml:space="preserve"> cells were extracted using </w:t>
      </w:r>
      <w:proofErr w:type="spellStart"/>
      <w:r>
        <w:t>DNeasy</w:t>
      </w:r>
      <w:proofErr w:type="spellEnd"/>
      <w:r>
        <w:t xml:space="preserve"> Blood &amp; Tissue Kit (Qiagen cat no.69506) and sent for whole genome sequencing (</w:t>
      </w:r>
      <w:proofErr w:type="spellStart"/>
      <w:r>
        <w:t>NovogeneAIT</w:t>
      </w:r>
      <w:proofErr w:type="spellEnd"/>
      <w:r>
        <w:t xml:space="preserve"> Singapore). </w:t>
      </w:r>
    </w:p>
    <w:p w14:paraId="636B91E6" w14:textId="77777777" w:rsidR="00452489" w:rsidRDefault="00000000">
      <w:pPr>
        <w:pStyle w:val="Heading2"/>
      </w:pPr>
      <w:r>
        <w:t xml:space="preserve">MSI/MSS </w:t>
      </w:r>
      <w:r>
        <w:rPr>
          <w:rFonts w:hint="eastAsia"/>
        </w:rPr>
        <w:t>s</w:t>
      </w:r>
      <w:r>
        <w:t>tatus</w:t>
      </w:r>
      <w:r>
        <w:rPr>
          <w:rFonts w:hint="eastAsia"/>
        </w:rPr>
        <w:t xml:space="preserve"> and high/low TMB status</w:t>
      </w:r>
    </w:p>
    <w:p w14:paraId="30C90B35" w14:textId="77777777" w:rsidR="00452489" w:rsidRDefault="00000000">
      <w:pPr>
        <w:pStyle w:val="normalfirst"/>
        <w:rPr>
          <w:color w:val="000000"/>
        </w:rPr>
      </w:pPr>
      <w:r>
        <w:t>For PCAWG genomes, the MSI status was evaluated by the PCAWG working group and obtained from the synapse repository (</w:t>
      </w:r>
      <w:hyperlink r:id="rId21" w:anchor="!Synapse:syn8016399" w:history="1">
        <w:r w:rsidR="00452489">
          <w:rPr>
            <w:rStyle w:val="Hyperlink"/>
          </w:rPr>
          <w:t>https://www.synapse.org/#!Synapse:syn8016399</w:t>
        </w:r>
      </w:hyperlink>
      <w:r>
        <w:rPr>
          <w:rFonts w:hint="eastAsia"/>
        </w:rPr>
        <w:t>, the data was downloaded on May 2022</w:t>
      </w:r>
      <w: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14:paraId="2BBFC440" w14:textId="77777777" w:rsidR="00452489" w:rsidRDefault="00000000">
      <w:pPr>
        <w:pStyle w:val="Heading2"/>
      </w:pPr>
      <w:r>
        <w:t>Extended sequence context</w:t>
      </w:r>
      <w:r>
        <w:rPr>
          <w:rFonts w:hint="eastAsia"/>
        </w:rPr>
        <w:t xml:space="preserve"> analysis</w:t>
      </w:r>
    </w:p>
    <w:p w14:paraId="76D8967A" w14:textId="77777777" w:rsidR="00452489" w:rsidRDefault="00000000">
      <w:pPr>
        <w:pStyle w:val="normalfirst"/>
      </w:pPr>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proofErr w:type="spellStart"/>
      <w:r>
        <w:t>seqLogo</w:t>
      </w:r>
      <w:proofErr w:type="spellEnd"/>
      <w:r>
        <w:rPr>
          <w:rFonts w:hint="eastAsia"/>
        </w:rPr>
        <w:t xml:space="preserve"> function of </w:t>
      </w:r>
      <w:proofErr w:type="spellStart"/>
      <w:r>
        <w:t>seqLogo</w:t>
      </w:r>
      <w:proofErr w:type="spellEnd"/>
      <w:r>
        <w:rPr>
          <w:rFonts w:hint="eastAsia"/>
        </w:rPr>
        <w:t xml:space="preserve"> R package (version 1.71.0)</w:t>
      </w:r>
    </w:p>
    <w:p w14:paraId="6E11AE3E" w14:textId="77777777" w:rsidR="00452489" w:rsidRDefault="00000000">
      <w:pPr>
        <w:pStyle w:val="Heading1"/>
      </w:pPr>
      <w:r>
        <w:t>Acknowledgment</w:t>
      </w:r>
    </w:p>
    <w:p w14:paraId="37567E54" w14:textId="77777777" w:rsidR="00452489" w:rsidRDefault="00000000">
      <w:pPr>
        <w:pStyle w:val="normalfirst"/>
      </w:pPr>
      <w:r>
        <w:rPr>
          <w:rFonts w:hint="eastAsia"/>
        </w:rPr>
        <w:t xml:space="preserve">We thank Shang Li for providing plasmids for generating CRISPR knockout clones. </w:t>
      </w:r>
    </w:p>
    <w:p w14:paraId="0C393576" w14:textId="77777777" w:rsidR="00452489" w:rsidRDefault="00000000">
      <w:pPr>
        <w:pStyle w:val="Heading1"/>
      </w:pPr>
      <w:r>
        <w:rPr>
          <w:rFonts w:hint="eastAsia"/>
        </w:rPr>
        <w:lastRenderedPageBreak/>
        <w:t>Funding</w:t>
      </w:r>
    </w:p>
    <w:p w14:paraId="09C49449" w14:textId="6D6A0523" w:rsidR="00452489"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sidR="00370F49" w:rsidRPr="00370F49">
        <w:rPr>
          <w:color w:val="000000"/>
        </w:rPr>
        <w:t xml:space="preserve">Natural Science Foundation of Guangdong Province, China </w:t>
      </w:r>
      <w:r w:rsidR="00370F49">
        <w:rPr>
          <w:rFonts w:eastAsia="宋体" w:hint="eastAsia"/>
          <w:color w:val="000000"/>
        </w:rPr>
        <w:t xml:space="preserve">(Grant No. ), </w:t>
      </w:r>
      <w:r>
        <w:t xml:space="preserve">International Science and Technology Innovation Cooperation between Governments for National Key R&amp;D Program Projects </w:t>
      </w:r>
      <w:r>
        <w:rPr>
          <w:rFonts w:hint="eastAsia"/>
        </w:rPr>
        <w:t>(</w:t>
      </w:r>
      <w:r>
        <w:t>2023YFE0107700</w:t>
      </w:r>
      <w:r>
        <w:rPr>
          <w:rFonts w:hint="eastAsia"/>
        </w:rPr>
        <w:t>), Guangzhou Municipal Science and Technology Bureau (</w:t>
      </w:r>
      <w:r>
        <w:t>2025A04J4304</w:t>
      </w:r>
      <w:r>
        <w:rPr>
          <w:rFonts w:hint="eastAsia"/>
        </w:rPr>
        <w:t xml:space="preserve">), </w:t>
      </w:r>
      <w:r w:rsidR="00370F49" w:rsidRPr="00370F49">
        <w:t xml:space="preserve">Shenzhen Science and Technology Innovation Program </w:t>
      </w:r>
      <w:r w:rsidR="00370F49">
        <w:rPr>
          <w:rFonts w:ascii="宋体" w:eastAsia="宋体" w:hAnsi="宋体" w:cs="宋体" w:hint="eastAsia"/>
        </w:rPr>
        <w:t>(</w:t>
      </w:r>
      <w:r w:rsidR="00370F49" w:rsidRPr="00370F49">
        <w:t>JCYJ20250604174809012</w:t>
      </w:r>
      <w:r w:rsidR="00370F49">
        <w:rPr>
          <w:rFonts w:eastAsia="宋体" w:hint="eastAsia"/>
        </w:rPr>
        <w:t>)</w:t>
      </w:r>
      <w:r>
        <w:rPr>
          <w:rFonts w:hint="eastAsia"/>
        </w:rPr>
        <w:t>.</w:t>
      </w:r>
      <w:r>
        <w:rPr>
          <w:rFonts w:hint="eastAsia"/>
          <w:color w:val="000000"/>
        </w:rPr>
        <w:t xml:space="preserve"> </w:t>
      </w:r>
    </w:p>
    <w:p w14:paraId="557972A2" w14:textId="77777777" w:rsidR="00452489" w:rsidRDefault="00000000">
      <w:pPr>
        <w:pStyle w:val="Heading1"/>
      </w:pPr>
      <w:r>
        <w:rPr>
          <w:rFonts w:hint="eastAsia"/>
        </w:rPr>
        <w:t>Author contributions</w:t>
      </w:r>
    </w:p>
    <w:p w14:paraId="2F2FA0F2" w14:textId="77777777" w:rsidR="00452489"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A.B., S.Z. and S.H. designed and performed gene editing experiments. R.S. performed the AUROC analysis. </w:t>
      </w:r>
      <w:r>
        <w:t>Data interpretation and manuscript write-up were carried out by M.L., M.H., and S.G.R., with contributions from all other authors. All authors reviewed and approved the final manuscript.</w:t>
      </w:r>
    </w:p>
    <w:p w14:paraId="513E3390" w14:textId="77777777" w:rsidR="00452489" w:rsidRDefault="00000000">
      <w:pPr>
        <w:pStyle w:val="Heading1"/>
      </w:pPr>
      <w:r>
        <w:t>Reference</w:t>
      </w:r>
    </w:p>
    <w:p w14:paraId="5A4CF85F" w14:textId="77777777" w:rsidR="00452489" w:rsidRDefault="00000000">
      <w:pPr>
        <w:pStyle w:val="Bibliography"/>
      </w:pPr>
      <w:r>
        <w:fldChar w:fldCharType="begin"/>
      </w:r>
      <w:r>
        <w:instrText>ADDIN ZOTERO_BIBL {"uncited":[],"omitted":[],"custom":[]} CSL_BIBLIOGRAPHY</w:instrText>
      </w:r>
      <w:r>
        <w:fldChar w:fldCharType="separate"/>
      </w:r>
      <w:r>
        <w:t xml:space="preserve">Alexandrov, Ludmil B., Young Seok Ju, Kerstin Haase, et al. 2016. ‘Mutational Signatures Associated with Tobacco Smoking in Human Cancer’. </w:t>
      </w:r>
      <w:r>
        <w:rPr>
          <w:i/>
          <w:iCs/>
        </w:rPr>
        <w:t>Science</w:t>
      </w:r>
      <w:r>
        <w:t xml:space="preserve"> 354 (6312): 618–22. https://doi.org/10.1126/science.aag0299.</w:t>
      </w:r>
    </w:p>
    <w:p w14:paraId="55E14547" w14:textId="77777777" w:rsidR="00452489" w:rsidRDefault="00000000">
      <w:pPr>
        <w:pStyle w:val="Bibliography"/>
      </w:pPr>
      <w:r>
        <w:t xml:space="preserve">Alexandrov, Ludmil B., Jaegil Kim, Nicholas J. Haradhvala, et al. 2020. ‘The Repertoire of Mutational Signatures in Human Cancer’. </w:t>
      </w:r>
      <w:r>
        <w:rPr>
          <w:i/>
          <w:iCs/>
        </w:rPr>
        <w:t>Nature</w:t>
      </w:r>
      <w:r>
        <w:t xml:space="preserve"> 578 (7793): 94–101. https://doi.org/10.1038/s41586-020-1943-3.</w:t>
      </w:r>
    </w:p>
    <w:p w14:paraId="3E2B9CCB" w14:textId="77777777" w:rsidR="00452489" w:rsidRDefault="00000000">
      <w:pPr>
        <w:pStyle w:val="Bibliography"/>
      </w:pPr>
      <w:r>
        <w:t xml:space="preserve">Alexandrov, Ludmil B, Serena Nik-zainal, David C Wedge, and Samuel A J R Aparicio. 2014. </w:t>
      </w:r>
      <w:r>
        <w:rPr>
          <w:i/>
          <w:iCs/>
        </w:rPr>
        <w:t>Signatures of Mutational Processes in Human Cancer</w:t>
      </w:r>
      <w:r>
        <w:t>. 500 (7463): 415–21. https://doi.org/10.1038/nature12477.Signatures.</w:t>
      </w:r>
    </w:p>
    <w:p w14:paraId="2A2AF615" w14:textId="77777777" w:rsidR="00452489" w:rsidRDefault="00000000">
      <w:pPr>
        <w:pStyle w:val="Bibliography"/>
      </w:pPr>
      <w:r>
        <w:lastRenderedPageBreak/>
        <w:t xml:space="preserve">Bavi, Prashant, Stephen B. Baylin, Wojciech Bazant, et al. 2020. ‘Pan-Cancer Analysis of Whole Genomes’. </w:t>
      </w:r>
      <w:r>
        <w:rPr>
          <w:i/>
          <w:iCs/>
        </w:rPr>
        <w:t>Nature</w:t>
      </w:r>
      <w:r>
        <w:t xml:space="preserve"> 578 (7793): 82–93. https://doi.org/10.1038/s41586-020-1969-6.</w:t>
      </w:r>
    </w:p>
    <w:p w14:paraId="4D2F5167" w14:textId="77777777" w:rsidR="00452489" w:rsidRDefault="00000000">
      <w:pPr>
        <w:pStyle w:val="Bibliography"/>
      </w:pPr>
      <w:r>
        <w:t xml:space="preserve">Boot, Arnoud, Mi Ni Huang, Alvin W.T. Ng, et al. 2018. ‘In-Depth Characterization of the Cisplatin Mutational Signature in Human Cell Lines and in Esophageal and Liver Tumors’. </w:t>
      </w:r>
      <w:r>
        <w:rPr>
          <w:i/>
          <w:iCs/>
        </w:rPr>
        <w:t>Genome Research</w:t>
      </w:r>
      <w:r>
        <w:t xml:space="preserve"> 28 (5): 654–65. https://doi.org/10.1101/gr.230219.117.</w:t>
      </w:r>
    </w:p>
    <w:p w14:paraId="2B52CB17" w14:textId="77777777" w:rsidR="00452489" w:rsidRDefault="00000000">
      <w:pPr>
        <w:pStyle w:val="Bibliography"/>
      </w:pPr>
      <w:r>
        <w:t xml:space="preserve">Boot, Arnoud, Alvin W.T. Ng, Fui Teen Chong, et al. 2020. ‘Characterization of Colibactin-Associated Mutational Signature in an Asian Oral Squamous Cell Carcinoma and in Other Mucosal Tumor Types’. </w:t>
      </w:r>
      <w:r>
        <w:rPr>
          <w:i/>
          <w:iCs/>
        </w:rPr>
        <w:t>Genome Research</w:t>
      </w:r>
      <w:r>
        <w:t xml:space="preserve"> 30 (6): 803–13. https://doi.org/10.1101/gr.255620.119.</w:t>
      </w:r>
    </w:p>
    <w:p w14:paraId="2245EFB3" w14:textId="77777777" w:rsidR="00452489" w:rsidRDefault="00000000">
      <w:pPr>
        <w:pStyle w:val="Bibliography"/>
      </w:pPr>
      <w:r>
        <w:t xml:space="preserve">Caipa Garcia, Angela L., Jill E. Kucab, Halh Al-Serori, et al. 2024. ‘Tissue Organoid Cultures Metabolize Dietary Carcinogens Proficiently and Are Effective Models for DNA Adduct Formation’. </w:t>
      </w:r>
      <w:r>
        <w:rPr>
          <w:i/>
          <w:iCs/>
        </w:rPr>
        <w:t>Chemical Research in Toxicology</w:t>
      </w:r>
      <w:r>
        <w:t xml:space="preserve"> 37 (2): 234–47. https://doi.org/10.1021/acs.chemrestox.3c00255.</w:t>
      </w:r>
    </w:p>
    <w:p w14:paraId="70095E4C" w14:textId="77777777" w:rsidR="00452489" w:rsidRDefault="00000000">
      <w:pPr>
        <w:pStyle w:val="Bibliography"/>
      </w:pPr>
      <w:r>
        <w:t xml:space="preserve">Chen, Lei, Chong Zhang, Ruidong Xue, et al. 2024. ‘Deep Whole-Genome Analysis of 494 Hepatocellular Carcinomas’. </w:t>
      </w:r>
      <w:r>
        <w:rPr>
          <w:i/>
          <w:iCs/>
        </w:rPr>
        <w:t>Nature</w:t>
      </w:r>
      <w:r>
        <w:t>, ahead of print, March 21. https://doi.org/10.1038/s41586-024-07054-3.</w:t>
      </w:r>
    </w:p>
    <w:p w14:paraId="32737342" w14:textId="77777777" w:rsidR="00452489" w:rsidRDefault="00000000">
      <w:pPr>
        <w:pStyle w:val="Bibliography"/>
      </w:pPr>
      <w:r>
        <w:t xml:space="preserve">Cho, Jang-Eun, Nayun Kim, Yue C. Li, and Sue Jinks-Robertson. 2013. ‘Two Distinct Mechanisms of Topoisomerase 1-Dependent Mutagenesis in Yeast’. </w:t>
      </w:r>
      <w:r>
        <w:rPr>
          <w:i/>
          <w:iCs/>
        </w:rPr>
        <w:t>DNA Repair</w:t>
      </w:r>
      <w:r>
        <w:t xml:space="preserve"> 12 (3): 205–11. https://doi.org/10.1016/j.dnarep.2012.12.004.</w:t>
      </w:r>
    </w:p>
    <w:p w14:paraId="12198950" w14:textId="77777777" w:rsidR="00452489" w:rsidRDefault="00000000">
      <w:pPr>
        <w:pStyle w:val="Bibliography"/>
      </w:pPr>
      <w: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t>. http://www.hgmd.org.</w:t>
      </w:r>
    </w:p>
    <w:p w14:paraId="78B58FD6" w14:textId="77777777" w:rsidR="00452489" w:rsidRDefault="00000000">
      <w:pPr>
        <w:pStyle w:val="Bibliography"/>
      </w:pPr>
      <w:r>
        <w:t xml:space="preserve">Davies, Helen, Dominik Glodzik, Sandro Morganella, et al. 2017. ‘HRDetect Is a Predictor of BRCA1 and BRCA2 Deficiency Based on Mutational Signatures’. </w:t>
      </w:r>
      <w:r>
        <w:rPr>
          <w:i/>
          <w:iCs/>
        </w:rPr>
        <w:t>Nature Medicine</w:t>
      </w:r>
      <w:r>
        <w:t xml:space="preserve"> 23 (4): 517–25. https://doi.org/10.1038/nm.4292.</w:t>
      </w:r>
    </w:p>
    <w:p w14:paraId="685BF369" w14:textId="77777777" w:rsidR="00452489" w:rsidRDefault="00000000">
      <w:pPr>
        <w:pStyle w:val="Bibliography"/>
      </w:pPr>
      <w:r>
        <w:t xml:space="preserve">Degasperi, Andrea, Xueqing Zou, Tauanne Dias Amarante, et al. 2022. ‘Substitution Mutational Signatures in Whole-Genome–Sequenced Cancers in the UK Population’. </w:t>
      </w:r>
      <w:r>
        <w:rPr>
          <w:i/>
          <w:iCs/>
        </w:rPr>
        <w:t>Science</w:t>
      </w:r>
      <w:r>
        <w:t xml:space="preserve"> 376 (6591). https://doi.org/10.1126/science.abl9283.</w:t>
      </w:r>
    </w:p>
    <w:p w14:paraId="2A95E7ED" w14:textId="77777777" w:rsidR="00452489" w:rsidRDefault="00000000">
      <w:pPr>
        <w:pStyle w:val="Bibliography"/>
      </w:pPr>
      <w:r>
        <w:t xml:space="preserve">Dziubańska-Kusibab, Paulina J., Hilmar Berger, Federica Battistini, et al. 2020. ‘Colibactin DNA-Damage Signature Indicates Mutational Impact in Colorectal Cancer’. </w:t>
      </w:r>
      <w:r>
        <w:rPr>
          <w:i/>
          <w:iCs/>
        </w:rPr>
        <w:t>Nature Medicine</w:t>
      </w:r>
      <w:r>
        <w:t xml:space="preserve"> 26 (7): 1063–69. https://doi.org/10.1038/s41591-020-0908-2.</w:t>
      </w:r>
    </w:p>
    <w:p w14:paraId="53EF2E56" w14:textId="77777777" w:rsidR="00452489" w:rsidRDefault="00000000">
      <w:pPr>
        <w:pStyle w:val="Bibliography"/>
      </w:pPr>
      <w:r>
        <w:t xml:space="preserve">Grolleman, Judith E., Richarda M. de Voer, Fadwa A. Elsayed, et al. 2019. ‘Mutational Signature Analysis Reveals NTHL1 Deficiency to Cause a Multi-Tumor Phenotype’. </w:t>
      </w:r>
      <w:r>
        <w:rPr>
          <w:i/>
          <w:iCs/>
        </w:rPr>
        <w:t>Cancer Cell</w:t>
      </w:r>
      <w:r>
        <w:t xml:space="preserve"> 35 (2): 256-266.e5. https://doi.org/10.1016/j.ccell.2018.12.011.</w:t>
      </w:r>
    </w:p>
    <w:p w14:paraId="19D17EC6" w14:textId="77777777" w:rsidR="00452489" w:rsidRDefault="00000000">
      <w:pPr>
        <w:pStyle w:val="Bibliography"/>
      </w:pPr>
      <w:r>
        <w:lastRenderedPageBreak/>
        <w:t xml:space="preserve">Hoang, Margaret L., Chung-Hsin Chen, Viktoriya S. Sidorenko, et al. 2013. ‘Mutational Signature of Aristolochic Acid Exposure as Revealed by Whole-Exome Sequencing’. </w:t>
      </w:r>
      <w:r>
        <w:rPr>
          <w:i/>
          <w:iCs/>
        </w:rPr>
        <w:t>Science Translational Medicine</w:t>
      </w:r>
      <w:r>
        <w:t xml:space="preserve"> 5 (197). https://doi.org/10.1126/scitranslmed.3006200.</w:t>
      </w:r>
    </w:p>
    <w:p w14:paraId="14F92A21" w14:textId="77777777" w:rsidR="00452489" w:rsidRDefault="00000000">
      <w:pPr>
        <w:pStyle w:val="Bibliography"/>
      </w:pPr>
      <w:r>
        <w:t xml:space="preserve">Huang, Mi Ni, Willie Yu, Wei Wei Teoh, et al. 2017. ‘Genome-Scale Mutational Signatures of Aflatoxin in Cells, Mice, and Human Tumors’. </w:t>
      </w:r>
      <w:r>
        <w:rPr>
          <w:i/>
          <w:iCs/>
        </w:rPr>
        <w:t>Genome Research</w:t>
      </w:r>
      <w:r>
        <w:t xml:space="preserve"> 27 (9): 1475–86. https://doi.org/10.1101/gr.220038.116.</w:t>
      </w:r>
    </w:p>
    <w:p w14:paraId="35D1F04E" w14:textId="77777777" w:rsidR="00452489" w:rsidRDefault="00000000">
      <w:pPr>
        <w:pStyle w:val="Bibliography"/>
      </w:pPr>
      <w:r>
        <w:t xml:space="preserve">Huang, Mini, John R. McPherson, Ioana Cutcutache, Bin Tean Teh, Patrick Tan, and Steven G. Rozen. 2015. ‘MSIseq: Software for Assessing Microsatellite Instability from Catalogs of Somatic Mutations’. </w:t>
      </w:r>
      <w:r>
        <w:rPr>
          <w:i/>
          <w:iCs/>
        </w:rPr>
        <w:t>Scientific Reports</w:t>
      </w:r>
      <w:r>
        <w:t xml:space="preserve"> 5 (1): 13321. https://doi.org/10.1038/srep13321.</w:t>
      </w:r>
    </w:p>
    <w:p w14:paraId="51FCC2A4" w14:textId="77777777" w:rsidR="00452489" w:rsidRDefault="00000000">
      <w:pPr>
        <w:pStyle w:val="Bibliography"/>
      </w:pPr>
      <w:r>
        <w:t xml:space="preserve">Islam, S. M.Ashiqul, Marcos Díaz-Gay, Yang Wu, et al. 2022. ‘Uncovering Novel Mutational Signatures by de Novo Extraction with SigProfilerExtractor’. </w:t>
      </w:r>
      <w:r>
        <w:rPr>
          <w:i/>
          <w:iCs/>
        </w:rPr>
        <w:t>Cell Genomics</w:t>
      </w:r>
      <w:r>
        <w:t xml:space="preserve"> 2 (11). https://doi.org/10.1016/j.xgen.2022.100179.</w:t>
      </w:r>
    </w:p>
    <w:p w14:paraId="68C3F367" w14:textId="77777777" w:rsidR="00452489" w:rsidRDefault="00000000">
      <w:pPr>
        <w:pStyle w:val="Bibliography"/>
      </w:pPr>
      <w:r>
        <w:t xml:space="preserve">Jiang, Nanhai, Yang Wu, and Steven G Rozen. 2024. ‘A New Approach to the Challenging Problem of Mutational Signature Attribution’. </w:t>
      </w:r>
      <w:r>
        <w:rPr>
          <w:i/>
          <w:iCs/>
        </w:rPr>
        <w:t>bioRxiv</w:t>
      </w:r>
      <w:r>
        <w:t>, ahead of print. https://doi.org/10.1101/2024.05.20.594967.</w:t>
      </w:r>
    </w:p>
    <w:p w14:paraId="405DB0DA" w14:textId="77777777" w:rsidR="00452489" w:rsidRDefault="00000000">
      <w:pPr>
        <w:pStyle w:val="Bibliography"/>
      </w:pPr>
      <w:r>
        <w:t xml:space="preserve">Jin, Hu, Doga C. Gulhan, Benedikt Geiger, et al. 2024. ‘Accurate and Sensitive Mutational Signature Analysis with MuSiCal’. </w:t>
      </w:r>
      <w:r>
        <w:rPr>
          <w:i/>
          <w:iCs/>
        </w:rPr>
        <w:t>Nature Genetics</w:t>
      </w:r>
      <w:r>
        <w:t xml:space="preserve"> 56 (3): 541–52. https://doi.org/10.1038/s41588-024-01659-0.</w:t>
      </w:r>
    </w:p>
    <w:p w14:paraId="65566D64" w14:textId="77777777" w:rsidR="00452489" w:rsidRDefault="00000000">
      <w:pPr>
        <w:pStyle w:val="Bibliography"/>
      </w:pPr>
      <w:r>
        <w:t xml:space="preserve">Joung, Julia, Silvana Konermann, Jonathan S Gootenberg, et al. 2017. ‘Genome-Scale CRISPR-Cas9 Knockout and Transcriptional Activation Screening’. </w:t>
      </w:r>
      <w:r>
        <w:rPr>
          <w:i/>
          <w:iCs/>
        </w:rPr>
        <w:t>Nature Protocols</w:t>
      </w:r>
      <w:r>
        <w:t xml:space="preserve"> 12 (4): 828–63. https://doi.org/10.1038/nprot.2017.016.</w:t>
      </w:r>
    </w:p>
    <w:p w14:paraId="3FAF7922" w14:textId="77777777" w:rsidR="00452489" w:rsidRDefault="00000000">
      <w:pPr>
        <w:pStyle w:val="Bibliography"/>
      </w:pPr>
      <w:r>
        <w:t xml:space="preserve">Koh, Gene Ching Chiek, Arjun Scott Nanda, Giuseppe Rinaldi, et al. 2025. ‘A Redefined InDel Taxonomy Provides Insights into Mutational Signatures’. </w:t>
      </w:r>
      <w:r>
        <w:rPr>
          <w:i/>
          <w:iCs/>
        </w:rPr>
        <w:t>Nature Genetics</w:t>
      </w:r>
      <w:r>
        <w:t>, ahead of print, April 10. https://doi.org/10.1038/s41588-025-02152-y.</w:t>
      </w:r>
    </w:p>
    <w:p w14:paraId="49C6E518" w14:textId="77777777" w:rsidR="00452489" w:rsidRDefault="00000000">
      <w:pPr>
        <w:pStyle w:val="Bibliography"/>
      </w:pPr>
      <w:r>
        <w:t xml:space="preserve">Kucab, Jill E., Xueqing Zou, Sandro Morganella, et al. 2019. ‘A Compendium of Mutational Signatures of Environmental Agents’. </w:t>
      </w:r>
      <w:r>
        <w:rPr>
          <w:i/>
          <w:iCs/>
        </w:rPr>
        <w:t>Cell</w:t>
      </w:r>
      <w:r>
        <w:t xml:space="preserve"> 177 (4): 821-836.e16. https://doi.org/10.1016/j.cell.2019.03.001.</w:t>
      </w:r>
    </w:p>
    <w:p w14:paraId="6E4F9817" w14:textId="77777777" w:rsidR="00452489" w:rsidRDefault="00000000">
      <w:pPr>
        <w:pStyle w:val="Bibliography"/>
      </w:pPr>
      <w:r>
        <w:t xml:space="preserve">Lippert, Malcolm J., Nayun Kim, Jang-Eun Cho, et al. 2011. ‘Role for Topoisomerase 1 in Transcription-Associated Mutagenesis in Yeast’. </w:t>
      </w:r>
      <w:r>
        <w:rPr>
          <w:i/>
          <w:iCs/>
        </w:rPr>
        <w:t>Proceedings of the National Academy of Sciences</w:t>
      </w:r>
      <w:r>
        <w:t xml:space="preserve"> 108 (2): 698–703. https://doi.org/10.1073/pnas.1012363108.</w:t>
      </w:r>
    </w:p>
    <w:p w14:paraId="7E8AAA68" w14:textId="77777777" w:rsidR="00452489" w:rsidRDefault="00000000">
      <w:pPr>
        <w:pStyle w:val="Bibliography"/>
      </w:pPr>
      <w:r>
        <w:t xml:space="preserve">Liu, Mo, Yang Wu, Nanhai Jiang, Arnoud Boot, and Steven G Rozen. 2023. ‘mSigHdp: Hierarchical Dirichlet Process Mixture Modeling for Mutational Signature Discovery’. </w:t>
      </w:r>
      <w:r>
        <w:rPr>
          <w:i/>
          <w:iCs/>
        </w:rPr>
        <w:t>NAR Genomics and Bioinformatics</w:t>
      </w:r>
      <w:r>
        <w:t xml:space="preserve"> 5 (1): lqad005. https://doi.org/10.1093/nargab/lqad005.</w:t>
      </w:r>
    </w:p>
    <w:p w14:paraId="28B841F5" w14:textId="77777777" w:rsidR="00452489" w:rsidRDefault="00000000">
      <w:pPr>
        <w:pStyle w:val="Bibliography"/>
      </w:pPr>
      <w:r>
        <w:t xml:space="preserve">Martínez-Jiménez, Francisco, Ali Movasati, Sascha Remy Brunner, et al. 2023. ‘Pan-Cancer Whole-Genome Comparison of Primary and Metastatic Solid Tumours’. </w:t>
      </w:r>
      <w:r>
        <w:rPr>
          <w:i/>
          <w:iCs/>
        </w:rPr>
        <w:t>Nature</w:t>
      </w:r>
      <w:r>
        <w:t xml:space="preserve"> 618 (7964): 333–41. https://doi.org/10.1038/s41586-023-06054-z.</w:t>
      </w:r>
    </w:p>
    <w:p w14:paraId="3FC71651" w14:textId="77777777" w:rsidR="00452489" w:rsidRDefault="00000000">
      <w:pPr>
        <w:pStyle w:val="Bibliography"/>
      </w:pPr>
      <w:r>
        <w:lastRenderedPageBreak/>
        <w:t xml:space="preserve">Ng, Alvin W T, Song Ling Poon, Mi Ni Huang, et al. 2017. </w:t>
      </w:r>
      <w:r>
        <w:rPr>
          <w:i/>
          <w:iCs/>
        </w:rPr>
        <w:t>Aristolochic Acids and Their Derivatives Are Widely Implicated in Liver Cancers in Taiwan and throughout Asia</w:t>
      </w:r>
      <w:r>
        <w:t>. https://www.science.org.</w:t>
      </w:r>
    </w:p>
    <w:p w14:paraId="53AFF1BF" w14:textId="77777777" w:rsidR="00452489" w:rsidRDefault="00000000">
      <w:pPr>
        <w:pStyle w:val="Bibliography"/>
      </w:pPr>
      <w:r>
        <w:t xml:space="preserve">Nik-Zainal, Serena, Ludmil B. Alexandrov, David C. Wedge, et al. 2012. ‘Mutational Processes Molding the Genomes of 21 Breast Cancers’. </w:t>
      </w:r>
      <w:r>
        <w:rPr>
          <w:i/>
          <w:iCs/>
        </w:rPr>
        <w:t>Cell</w:t>
      </w:r>
      <w:r>
        <w:t xml:space="preserve"> 149 (5): 979–93. https://doi.org/10.1016/j.cell.2012.04.024.</w:t>
      </w:r>
    </w:p>
    <w:p w14:paraId="1FDA21CD" w14:textId="77777777" w:rsidR="00452489" w:rsidRDefault="00000000">
      <w:pPr>
        <w:pStyle w:val="Bibliography"/>
      </w:pPr>
      <w:r>
        <w:t xml:space="preserve">Poon, Song Ling, Mi Ni Huang, Yang Choo, et al. 2015. ‘Mutation Signatures Implicate Aristolochic Acid in Bladder Cancer Development’. </w:t>
      </w:r>
      <w:r>
        <w:rPr>
          <w:i/>
          <w:iCs/>
        </w:rPr>
        <w:t>Genome Medicine</w:t>
      </w:r>
      <w:r>
        <w:t xml:space="preserve"> 7 (1): 38. https://doi.org/10.1186/s13073-015-0161-3.</w:t>
      </w:r>
    </w:p>
    <w:p w14:paraId="0E4F8127" w14:textId="77777777" w:rsidR="00452489" w:rsidRDefault="00000000">
      <w:pPr>
        <w:pStyle w:val="Bibliography"/>
      </w:pPr>
      <w:r>
        <w:t xml:space="preserve">Poon, Song Ling, See-Tong Pang, John R. McPherson, et al. 2013. ‘Genome-Wide Mutational Signatures of Aristolochic Acid and Its Application as a Screening Tool’. </w:t>
      </w:r>
      <w:r>
        <w:rPr>
          <w:i/>
          <w:iCs/>
        </w:rPr>
        <w:t>Science Translational Medicine</w:t>
      </w:r>
      <w:r>
        <w:t xml:space="preserve"> 5 (197). https://doi.org/10.1126/scitranslmed.3006086.</w:t>
      </w:r>
    </w:p>
    <w:p w14:paraId="1B1A7A2E" w14:textId="77777777" w:rsidR="00452489" w:rsidRDefault="00000000">
      <w:pPr>
        <w:pStyle w:val="Bibliography"/>
      </w:pPr>
      <w:r>
        <w:t xml:space="preserve">Ramlee, Muhammad Khairul, Tingdong Yan, Alice M. S. Cheung, Charles T. H. Chuah, and Shang Li. 2015. ‘High-Throughput Genotyping of CRISPR/Cas9-Mediated Mutants Using Fluorescent PCR-Capillary Gel Electrophoresis’. </w:t>
      </w:r>
      <w:r>
        <w:rPr>
          <w:i/>
          <w:iCs/>
        </w:rPr>
        <w:t>Scientific Reports</w:t>
      </w:r>
      <w:r>
        <w:t xml:space="preserve"> 5 (1): 15587. https://doi.org/10.1038/srep15587.</w:t>
      </w:r>
    </w:p>
    <w:p w14:paraId="61CDF559" w14:textId="77777777" w:rsidR="00452489" w:rsidRDefault="00000000">
      <w:pPr>
        <w:pStyle w:val="Bibliography"/>
      </w:pPr>
      <w:r>
        <w:t xml:space="preserve">Reijns, Martin A. M., David A. Parry, Thomas C. Williams, et al. 2022. ‘Signatures of TOP1 Transcription-Associated Mutagenesis in Cancer and Germline’. </w:t>
      </w:r>
      <w:r>
        <w:rPr>
          <w:i/>
          <w:iCs/>
        </w:rPr>
        <w:t>Nature</w:t>
      </w:r>
      <w:r>
        <w:t xml:space="preserve"> 602 (7898): 623–31. https://doi.org/10.1038/s41586-022-04403-y.</w:t>
      </w:r>
    </w:p>
    <w:p w14:paraId="354A51D7" w14:textId="77777777" w:rsidR="00452489" w:rsidRDefault="00000000">
      <w:pPr>
        <w:pStyle w:val="Bibliography"/>
      </w:pPr>
      <w:r>
        <w:t xml:space="preserve">Riva, Laura, Arun R. Pandiri, Yun Rose Li, et al. 2020. ‘The Mutational Signature Profile of Known and Suspected Human Carcinogens in Mice’. </w:t>
      </w:r>
      <w:r>
        <w:rPr>
          <w:i/>
          <w:iCs/>
        </w:rPr>
        <w:t>Nature Genetics</w:t>
      </w:r>
      <w:r>
        <w:t xml:space="preserve"> 52 (11): 1189–97. https://doi.org/10.1038/s41588-020-0692-4.</w:t>
      </w:r>
    </w:p>
    <w:p w14:paraId="7F327E44" w14:textId="77777777" w:rsidR="00452489" w:rsidRDefault="00000000">
      <w:pPr>
        <w:pStyle w:val="Bibliography"/>
      </w:pPr>
      <w: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t xml:space="preserve">’. </w:t>
      </w:r>
      <w:r>
        <w:rPr>
          <w:i/>
          <w:iCs/>
        </w:rPr>
        <w:t>Proceedings of the National Academy of Sciences</w:t>
      </w:r>
      <w:r>
        <w:t xml:space="preserve"> 108 (2): 692–97. https://doi.org/10.1073/pnas.1012582108.</w:t>
      </w:r>
    </w:p>
    <w:p w14:paraId="4F22FCC0" w14:textId="77777777" w:rsidR="00452489" w:rsidRDefault="00000000">
      <w:r>
        <w:fldChar w:fldCharType="end"/>
      </w:r>
    </w:p>
    <w:sectPr w:rsidR="00452489">
      <w:footerReference w:type="default" r:id="rId22"/>
      <w:footerReference w:type="first" r:id="rId23"/>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o Liu" w:date="2026-01-11T21:08:00Z" w:initials="ML">
    <w:p w14:paraId="514CF8B7" w14:textId="77777777" w:rsidR="00F9217F" w:rsidRDefault="00F9217F" w:rsidP="00F9217F">
      <w:pPr>
        <w:pStyle w:val="CommentText"/>
        <w:ind w:firstLine="0"/>
      </w:pPr>
      <w:r>
        <w:rPr>
          <w:rStyle w:val="CommentReference"/>
        </w:rPr>
        <w:annotationRef/>
      </w:r>
      <w:r>
        <w:t>Figure 9 and Sup Figure 10. About signature contribution to gene hotspots. Pending to remove. Or just change it to refer to a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4CF8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EA3FAA" w16cex:dateUtc="2026-01-11T13: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4CF8B7" w16cid:durableId="16EA3F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D007C" w14:textId="77777777" w:rsidR="00CE75BB" w:rsidRDefault="00CE75BB">
      <w:pPr>
        <w:spacing w:after="0" w:line="240" w:lineRule="auto"/>
      </w:pPr>
      <w:r>
        <w:separator/>
      </w:r>
    </w:p>
  </w:endnote>
  <w:endnote w:type="continuationSeparator" w:id="0">
    <w:p w14:paraId="16F2A6C8" w14:textId="77777777" w:rsidR="00CE75BB" w:rsidRDefault="00CE7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DejaVu Sans">
    <w:altName w:val="Verdan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mbria"/>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A6833" w14:textId="77777777" w:rsidR="00452489" w:rsidRDefault="00000000">
    <w:pPr>
      <w:pStyle w:val="Footer"/>
      <w:jc w:val="right"/>
    </w:pPr>
    <w:r>
      <w:t xml:space="preserve">Page </w:t>
    </w:r>
    <w:r>
      <w:fldChar w:fldCharType="begin"/>
    </w:r>
    <w:r>
      <w:instrText xml:space="preserve"> PAGE </w:instrText>
    </w:r>
    <w:r>
      <w:fldChar w:fldCharType="separate"/>
    </w:r>
    <w:r>
      <w:t>36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BDD77" w14:textId="77777777" w:rsidR="00452489" w:rsidRDefault="00000000">
    <w:pPr>
      <w:pStyle w:val="Footer"/>
      <w:jc w:val="right"/>
    </w:pPr>
    <w:r>
      <w:t xml:space="preserve">Page </w:t>
    </w:r>
    <w:r>
      <w:fldChar w:fldCharType="begin"/>
    </w:r>
    <w:r>
      <w:instrText xml:space="preserve"> PAGE </w:instrText>
    </w:r>
    <w:r>
      <w:fldChar w:fldCharType="separate"/>
    </w:r>
    <w:r>
      <w:t>36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3E2B8" w14:textId="77777777" w:rsidR="00CE75BB" w:rsidRDefault="00CE75BB">
      <w:pPr>
        <w:spacing w:after="0" w:line="240" w:lineRule="auto"/>
      </w:pPr>
      <w:r>
        <w:separator/>
      </w:r>
    </w:p>
  </w:footnote>
  <w:footnote w:type="continuationSeparator" w:id="0">
    <w:p w14:paraId="4165462E" w14:textId="77777777" w:rsidR="00CE75BB" w:rsidRDefault="00CE75BB">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doNotBreakWrappedTables/>
    <w:useFELayout/>
    <w:compatSetting w:name="compatibilityMode" w:uri="http://schemas.microsoft.com/office/word" w:val="12"/>
    <w:compatSetting w:name="useWord2013TrackBottomHyphenation" w:uri="http://schemas.microsoft.com/office/word" w:val="1"/>
  </w:compat>
  <w:rsids>
    <w:rsidRoot w:val="00452489"/>
    <w:rsid w:val="00370F49"/>
    <w:rsid w:val="00452489"/>
    <w:rsid w:val="00610E81"/>
    <w:rsid w:val="00893A1E"/>
    <w:rsid w:val="00CE75BB"/>
    <w:rsid w:val="00F9217F"/>
    <w:rsid w:val="00FF0F2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3C1BF"/>
  <w15:docId w15:val="{162CF675-F840-4EE1-95C2-9A91EB9A6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user">
    <w:name w:val="Bullets (user)"/>
    <w:qFormat/>
    <w:rPr>
      <w:rFonts w:ascii="OpenSymbol" w:eastAsia="OpenSymbol" w:hAnsi="OpenSymbol" w:cs="OpenSymbol"/>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ncer.sanger.ac.uk/signatures/documents/4/PCAWG7_indel_classification_2021_08_31.xlsx" TargetMode="External"/><Relationship Id="rId13" Type="http://schemas.microsoft.com/office/2016/09/relationships/commentsIds" Target="commentsIds.xml"/><Relationship Id="rId18" Type="http://schemas.openxmlformats.org/officeDocument/2006/relationships/hyperlink" Target="https://doi.org/10.1016/j.celrep.2023.112930"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www.synapse.org/" TargetMode="External"/><Relationship Id="rId7" Type="http://schemas.openxmlformats.org/officeDocument/2006/relationships/hyperlink" Target="https://signal.mutationalsignatures.com/explore/main/cancer/signatures?mutationType=3&amp;study=7" TargetMode="External"/><Relationship Id="rId12" Type="http://schemas.microsoft.com/office/2011/relationships/commentsExtended" Target="commentsExtended.xml"/><Relationship Id="rId17" Type="http://schemas.openxmlformats.org/officeDocument/2006/relationships/hyperlink" Target="https://bmcbioinformatics.biomedcentral.com/articles/10.1186/s12859-020-03772-3" TargetMode="External"/><Relationship Id="rId25" Type="http://schemas.microsoft.com/office/2011/relationships/people" Target="people.xml"/><Relationship Id="rId2" Type="http://schemas.openxmlformats.org/officeDocument/2006/relationships/settings" Target="settings.xml"/><Relationship Id="rId16" Type="http://schemas.openxmlformats.org/officeDocument/2006/relationships/hyperlink" Target="https://cancer.sanger.ac.uk/cosmic/census?tier=1" TargetMode="External"/><Relationship Id="rId20" Type="http://schemas.openxmlformats.org/officeDocument/2006/relationships/hyperlink" Target="https://genomebiology.biomedcentral.com/articles/10.1186/s13059-018-1509-y" TargetMode="External"/><Relationship Id="rId1" Type="http://schemas.openxmlformats.org/officeDocument/2006/relationships/styles" Target="styles.xml"/><Relationship Id="rId6" Type="http://schemas.openxmlformats.org/officeDocument/2006/relationships/hyperlink" Target="mailto:mo.liu@gzhmu.edu.cn" TargetMode="Externa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dcc.icgc.org/releases/current/Projects/" TargetMode="External"/><Relationship Id="rId23" Type="http://schemas.openxmlformats.org/officeDocument/2006/relationships/footer" Target="footer2.xml"/><Relationship Id="rId10" Type="http://schemas.openxmlformats.org/officeDocument/2006/relationships/hyperlink" Target="https://www.medrxiv.org/content/10.1101/2023.06.07.23290970v1" TargetMode="External"/><Relationship Id="rId19" Type="http://schemas.openxmlformats.org/officeDocument/2006/relationships/hyperlink" Target="https://hgdownload.cse.ucsc.edu/goldenPath/hg19/encodeDCC/wgEncodeUwRepliSeq/" TargetMode="External"/><Relationship Id="rId4" Type="http://schemas.openxmlformats.org/officeDocument/2006/relationships/footnotes" Target="footnotes.xml"/><Relationship Id="rId9" Type="http://schemas.openxmlformats.org/officeDocument/2006/relationships/hyperlink" Target="https://www.nature.com/articles/s41586-025-09025-8" TargetMode="External"/><Relationship Id="rId14" Type="http://schemas.microsoft.com/office/2018/08/relationships/commentsExtensible" Target="commentsExtensible.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36</Pages>
  <Words>34660</Words>
  <Characters>197564</Characters>
  <Application>Microsoft Office Word</Application>
  <DocSecurity>0</DocSecurity>
  <Lines>1646</Lines>
  <Paragraphs>463</Paragraphs>
  <ScaleCrop>false</ScaleCrop>
  <Company/>
  <LinksUpToDate>false</LinksUpToDate>
  <CharactersWithSpaces>231761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2</cp:revision>
  <cp:lastPrinted>2025-06-06T09:23:00Z</cp:lastPrinted>
  <dcterms:created xsi:type="dcterms:W3CDTF">2026-01-11T13:09:00Z</dcterms:created>
  <dcterms:modified xsi:type="dcterms:W3CDTF">2026-01-11T13:09:00Z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