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7693" w14:textId="77777777" w:rsidR="0045262E"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1171CC0F" w14:textId="77777777" w:rsidR="0045262E"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55AE093B" w14:textId="77777777" w:rsidR="0045262E"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10A4F59A" w14:textId="77777777" w:rsidR="0045262E"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36ECE44" w14:textId="77777777" w:rsidR="0045262E" w:rsidRDefault="00000000">
      <w:pPr>
        <w:pStyle w:val="authorsandaff"/>
      </w:pPr>
      <w:r>
        <w:rPr>
          <w:rFonts w:hint="eastAsia"/>
        </w:rPr>
        <w:t xml:space="preserve">3 </w:t>
      </w:r>
      <w:r>
        <w:t>Imaging Platform, Broad Institute of Harvard and MIT, Cambridge, Massachusetts, United States</w:t>
      </w:r>
    </w:p>
    <w:p w14:paraId="6CEBDED1" w14:textId="77777777" w:rsidR="0045262E" w:rsidRDefault="00000000">
      <w:pPr>
        <w:pStyle w:val="authorsandaff"/>
      </w:pPr>
      <w:r>
        <w:rPr>
          <w:rFonts w:hint="eastAsia"/>
        </w:rPr>
        <w:t>4</w:t>
      </w:r>
      <w:r>
        <w:t xml:space="preserve"> Department of Biostatistics and Bioinformatics, Duke University School of Medicine, Durham, North Carolina, 27710, United States</w:t>
      </w:r>
    </w:p>
    <w:p w14:paraId="2FCFE925" w14:textId="77777777" w:rsidR="0045262E" w:rsidRDefault="00000000">
      <w:pPr>
        <w:pStyle w:val="authorsandaff"/>
      </w:pPr>
      <w:r>
        <w:t xml:space="preserve"># Corresponding authors: E-mails: </w:t>
      </w:r>
      <w:hyperlink r:id="rId7">
        <w:r w:rsidR="0045262E">
          <w:rPr>
            <w:rFonts w:hint="eastAsia"/>
          </w:rPr>
          <w:t>mo.liu@gzhmu.edu.cn</w:t>
        </w:r>
      </w:hyperlink>
      <w:r>
        <w:rPr>
          <w:rFonts w:hint="eastAsia"/>
        </w:rPr>
        <w:t>, steverozen@pm.me</w:t>
      </w:r>
    </w:p>
    <w:p w14:paraId="562FF599" w14:textId="77777777" w:rsidR="0045262E" w:rsidRDefault="00000000">
      <w:r>
        <w:br w:type="page"/>
      </w:r>
    </w:p>
    <w:p w14:paraId="08EDE187" w14:textId="77777777" w:rsidR="0045262E" w:rsidRDefault="00000000">
      <w:pPr>
        <w:pStyle w:val="Heading1"/>
        <w:spacing w:before="0"/>
      </w:pPr>
      <w:r>
        <w:rPr>
          <w:rFonts w:hint="eastAsia"/>
        </w:rPr>
        <w:lastRenderedPageBreak/>
        <w:t>Summary</w:t>
      </w:r>
    </w:p>
    <w:p w14:paraId="28F19D95" w14:textId="77777777" w:rsidR="0045262E"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5837370B" w14:textId="77777777" w:rsidR="0045262E" w:rsidRDefault="00000000">
      <w:pPr>
        <w:pStyle w:val="Heading1"/>
        <w:spacing w:before="0"/>
      </w:pPr>
      <w:r>
        <w:rPr>
          <w:rFonts w:hint="eastAsia"/>
        </w:rPr>
        <w:t>150</w:t>
      </w:r>
      <w:r>
        <w:br w:type="page"/>
      </w:r>
    </w:p>
    <w:p w14:paraId="594779A3" w14:textId="77777777" w:rsidR="0045262E" w:rsidRDefault="00000000">
      <w:pPr>
        <w:pStyle w:val="Heading1"/>
        <w:spacing w:before="0"/>
      </w:pPr>
      <w:r>
        <w:rPr>
          <w:rFonts w:hint="eastAsia"/>
        </w:rPr>
        <w:lastRenderedPageBreak/>
        <w:t>Old Long Abstract</w:t>
      </w:r>
    </w:p>
    <w:p w14:paraId="2612377C" w14:textId="77777777" w:rsidR="0045262E" w:rsidRDefault="00000000">
      <w:pPr>
        <w:pStyle w:val="normalfirst"/>
      </w:pPr>
      <w: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t>
      </w:r>
      <w:r>
        <w:rPr>
          <w:rFonts w:hint="eastAsia"/>
        </w:rPr>
        <w:t>We release software for generating and plotting spectra in the new classifications. An accompanying web site enables exploration of signatures and their cross-classification relationships and provides a service to construct spectra from vcf files.</w:t>
      </w:r>
    </w:p>
    <w:p w14:paraId="23E75EA6" w14:textId="77777777" w:rsidR="0045262E" w:rsidRDefault="0045262E">
      <w:pPr>
        <w:pStyle w:val="normalfirst"/>
      </w:pPr>
    </w:p>
    <w:p w14:paraId="7E26CE88" w14:textId="77777777" w:rsidR="0045262E" w:rsidRDefault="00000000">
      <w:pPr>
        <w:pStyle w:val="normalfirst"/>
      </w:pPr>
      <w:r>
        <w:t>(Currently 249 words)</w:t>
      </w:r>
    </w:p>
    <w:p w14:paraId="31CE3B82" w14:textId="77777777" w:rsidR="0045262E" w:rsidRDefault="0045262E">
      <w:pPr>
        <w:pStyle w:val="normalfirst"/>
      </w:pPr>
    </w:p>
    <w:p w14:paraId="4FCDA6B1" w14:textId="77777777" w:rsidR="0045262E" w:rsidRDefault="00000000">
      <w:pPr>
        <w:pStyle w:val="Heading1"/>
        <w:spacing w:before="0"/>
      </w:pPr>
      <w:r>
        <w:t>Introduction</w:t>
      </w:r>
    </w:p>
    <w:p w14:paraId="1F80C48C" w14:textId="77777777" w:rsidR="0045262E"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2A00E615" w14:textId="77777777" w:rsidR="0045262E"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7F878872" w14:textId="77777777" w:rsidR="0045262E"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0D8A6EEF" w14:textId="77777777" w:rsidR="0045262E"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12CE817F" w14:textId="77777777" w:rsidR="0045262E"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174AA13B" w14:textId="77777777" w:rsidR="0045262E"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 Supplementary Table )</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251821D6" w14:textId="77777777" w:rsidR="0045262E" w:rsidRDefault="00000000">
      <w:r>
        <w:t xml:space="preserve">For example, the 83-type classification distinguishes deletions of single Ts only by the number of T’s at the site of the deletion: 1, 2, 3, 4, 5, or &gt;= 6 Ts </w:t>
      </w:r>
      <w:r>
        <w:rPr>
          <w:shd w:val="clear" w:color="auto" w:fill="00FFFF"/>
        </w:rPr>
        <w:t>(Figure 1A)</w:t>
      </w:r>
      <w: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 The </w:t>
      </w:r>
      <w:r>
        <w:rPr>
          <w:shd w:val="clear" w:color="auto" w:fill="FFFF00"/>
        </w:rPr>
        <w:t xml:space="preserve">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intutive. Supplementary Table &lt;rosetta stone&gt; provides a mapping from the 476-type classification to the 89 and 83-type classifications, as well as as mutliple examples of each category of deletion. </w:t>
      </w:r>
    </w:p>
    <w:p w14:paraId="29D6DA92" w14:textId="77777777" w:rsidR="0045262E" w:rsidRDefault="00000000">
      <w:pPr>
        <w:pStyle w:val="ListParagraph"/>
        <w:ind w:firstLine="480"/>
      </w:pPr>
      <w:r>
        <w:lastRenderedPageBreak/>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associations to SBSs and to sex within a given cancer type. In addition to the supplementary information provided here, we also provide a web site to facilitate exploration of these signatures.</w:t>
      </w:r>
    </w:p>
    <w:p w14:paraId="328BE5FC" w14:textId="77777777" w:rsidR="0045262E" w:rsidRDefault="00000000">
      <w:pPr>
        <w:pStyle w:val="Heading1"/>
      </w:pPr>
      <w:r>
        <w:t>Results</w:t>
      </w:r>
    </w:p>
    <w:p w14:paraId="3C02D14F" w14:textId="77777777" w:rsidR="0045262E" w:rsidRDefault="00000000">
      <w:pPr>
        <w:pStyle w:val="Heading2"/>
      </w:pPr>
      <w:r>
        <w:t>Repertoire of indel signatures based on de novo signature discovery</w:t>
      </w:r>
    </w:p>
    <w:p w14:paraId="53249898" w14:textId="77777777" w:rsidR="0045262E" w:rsidRDefault="00000000">
      <w:pPr>
        <w:pStyle w:val="normalfirst"/>
      </w:pPr>
      <w:r>
        <w:t>We identified indel signatures in all three classifications from a total of 6,975 cancer genomes encompassing 32 cancer types</w:t>
      </w:r>
      <w:r>
        <w:rPr>
          <w:shd w:val="clear" w:color="auto" w:fill="FFFF00"/>
        </w:rPr>
        <w:t xml:space="preserve"> </w:t>
      </w:r>
      <w:r>
        <w:t xml:space="preserve">using a method based on hierarchical Dirichlet processes  </w:t>
      </w:r>
      <w:bookmarkStart w:id="13" w:name="ZOTERO_BREF_sXKgi2ptdMXh"/>
      <w:r>
        <w:t>(Liu et al. 2023)</w:t>
      </w:r>
      <w:bookmarkEnd w:id="13"/>
      <w:r>
        <w:t xml:space="preserve">, and SigProfilerExtractor (SigPro), a method based on non-negative matrix factorization </w:t>
      </w:r>
      <w:bookmarkStart w:id="14" w:name="ZOTERO_BREF_Ax2rB3g50il2"/>
      <w:r>
        <w:t>(Islam et al. 2022)</w:t>
      </w:r>
      <w:bookmarkEnd w:id="14"/>
      <w:r>
        <w:t>.</w:t>
      </w:r>
      <w:commentRangeStart w:id="15"/>
      <w:commentRangeStart w:id="16"/>
      <w:commentRangeStart w:id="17"/>
      <w:r>
        <w:t xml:space="preserve"> The extracted signatures were broadly consistent between the two methods </w:t>
      </w:r>
      <w:r>
        <w:rPr>
          <w:shd w:val="clear" w:color="auto" w:fill="FFFF00"/>
        </w:rPr>
        <w:t xml:space="preserve">(reference table 1, shiny app, our vignette), </w:t>
      </w:r>
      <w:r>
        <w:t>W</w:t>
      </w:r>
      <w:commentRangeEnd w:id="15"/>
      <w:r>
        <w:rPr>
          <w:rStyle w:val="CommentReference"/>
          <w:sz w:val="24"/>
          <w:szCs w:val="24"/>
        </w:rPr>
        <w:commentReference w:id="15"/>
      </w:r>
      <w:commentRangeEnd w:id="16"/>
      <w:r>
        <w:rPr>
          <w:rStyle w:val="CommentReference"/>
          <w:sz w:val="24"/>
          <w:szCs w:val="24"/>
        </w:rPr>
        <w:commentReference w:id="16"/>
      </w:r>
      <w:commentRangeEnd w:id="17"/>
      <w:r>
        <w:rPr>
          <w:rStyle w:val="CommentReference"/>
          <w:sz w:val="24"/>
          <w:szCs w:val="24"/>
        </w:rPr>
        <w:commentReference w:id="17"/>
      </w:r>
      <w:r>
        <w:t xml:space="preserve">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t>
      </w:r>
      <w:r>
        <w:lastRenderedPageBreak/>
        <w:t>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8" w:name="ZOTERO_BREF_DLtC4TQmbVUR"/>
      <w:r>
        <w:t>(Koh et al. 2025)</w:t>
      </w:r>
      <w:bookmarkEnd w:id="18"/>
      <w:r>
        <w:t xml:space="preserve">. </w:t>
      </w:r>
    </w:p>
    <w:p w14:paraId="6D63EC28" w14:textId="77777777" w:rsidR="0045262E"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9" w:name="ZOTERO_BREF_RenPiKIXIJyQ"/>
      <w:r>
        <w:t>(Jin et al. 2024b)</w:t>
      </w:r>
      <w:bookmarkEnd w:id="19"/>
      <w:r>
        <w:t>.</w:t>
      </w:r>
    </w:p>
    <w:p w14:paraId="2D67A5AE" w14:textId="77777777" w:rsidR="0045262E" w:rsidRDefault="00000000">
      <w:pPr>
        <w:pStyle w:val="normalfirst"/>
        <w:ind w:firstLine="720"/>
      </w:pPr>
      <w:r>
        <w:t xml:space="preserve">Because lossless translation between signatures in the 83-type and the two new classification schemes is impossible </w:t>
      </w:r>
      <w:r>
        <w:rPr>
          <w:shd w:val="clear" w:color="auto" w:fill="FFFF00"/>
        </w:rPr>
        <w:t>&lt;steve create sup table from .csv file and call it sup_table_no_translation.xlsx&gt;</w:t>
      </w:r>
      <w: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val="clear" w:color="auto" w:fill="FFFF00"/>
        </w:rPr>
        <w:t>&lt;cite vignette and shiny app&gt;</w:t>
      </w:r>
      <w:r>
        <w:t xml:space="preserve">. </w:t>
      </w:r>
    </w:p>
    <w:p w14:paraId="7C4BD475" w14:textId="77777777" w:rsidR="0045262E" w:rsidRDefault="00000000">
      <w:pPr>
        <w:pStyle w:val="normalfirst"/>
        <w:ind w:firstLine="720"/>
      </w:pPr>
      <w:r>
        <w:t>In several cases, the 89 and 476 type systems were able to distinguish signatures that the 83-type system merged: &lt;this is a note, delete it: ID1, 2, 3, 5, 19, A, N&gt;.</w:t>
      </w:r>
      <w:r>
        <w:rPr>
          <w:shd w:val="clear" w:color="auto" w:fill="FFFF00"/>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14:paraId="04227AF4" w14:textId="3945C90E" w:rsidR="0045262E" w:rsidRDefault="00000000">
      <w:pPr>
        <w:pStyle w:val="normalfirst"/>
        <w:ind w:firstLine="720"/>
      </w:pPr>
      <w:r>
        <w:lastRenderedPageBreak/>
        <w:t>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w:t>
      </w:r>
      <w:r w:rsidR="001D376D" w:rsidRPr="001D376D">
        <w:rPr>
          <w:rFonts w:eastAsia="宋体" w:hint="eastAsia"/>
          <w:highlight w:val="yellow"/>
        </w:rPr>
        <w:t xml:space="preserve"> </w:t>
      </w:r>
      <w:r w:rsidR="001D376D" w:rsidRPr="002871C9">
        <w:rPr>
          <w:rFonts w:eastAsia="宋体" w:hint="eastAsia"/>
          <w:highlight w:val="yellow"/>
        </w:rPr>
        <w:t>Sup Figure SX</w:t>
      </w:r>
    </w:p>
    <w:p w14:paraId="2CDCF6DD" w14:textId="70A7307C" w:rsidR="0045262E" w:rsidRDefault="00000000">
      <w:pPr>
        <w:pStyle w:val="normalfirst"/>
        <w:ind w:firstLine="720"/>
      </w:pPr>
      <w:r>
        <w:t xml:space="preserve">The pair InsDel11 and InsDel16 is also similar, with InsDel11 having insertions of one C next to an isolated C (C with non-Cs on each side, e.g. ACG -&gt; ACCG) and insertion of a one T next to an isolated T (e.g. GTG -&gt; GTTG), as opposed to InsDel16, which has insertion of one  C between non-Cs (e.g. AT -&gt; ACT), and insertion of one T between non-Ts (e.g. AG -&gt; ATG). </w:t>
      </w:r>
      <w:r w:rsidR="001D376D" w:rsidRPr="002871C9">
        <w:rPr>
          <w:rFonts w:eastAsia="宋体" w:hint="eastAsia"/>
          <w:highlight w:val="yellow"/>
        </w:rPr>
        <w:t>Sup Figure SX</w:t>
      </w:r>
    </w:p>
    <w:p w14:paraId="2F48E27C" w14:textId="77777777" w:rsidR="0045262E" w:rsidRDefault="00000000">
      <w:pPr>
        <w:pStyle w:val="normalfirst"/>
        <w:rPr>
          <w:b/>
          <w:bCs/>
          <w:i/>
          <w:iCs/>
        </w:rPr>
      </w:pPr>
      <w:r>
        <w:rPr>
          <w:b/>
          <w:bCs/>
          <w:i/>
          <w:iCs/>
        </w:rPr>
        <w:t>Signature assignments</w:t>
      </w:r>
    </w:p>
    <w:p w14:paraId="1A257721" w14:textId="77777777" w:rsidR="0045262E" w:rsidRDefault="0045262E">
      <w:pPr>
        <w:pStyle w:val="normalfirst"/>
        <w:rPr>
          <w:b/>
          <w:bCs/>
          <w:i/>
          <w:iCs/>
        </w:rPr>
      </w:pPr>
    </w:p>
    <w:p w14:paraId="2A57FCCA" w14:textId="77777777" w:rsidR="0045262E" w:rsidRDefault="00000000">
      <w:pPr>
        <w:pStyle w:val="normalfirst"/>
        <w:rPr>
          <w:b/>
          <w:bCs/>
          <w:i/>
          <w:iCs/>
        </w:rPr>
      </w:pPr>
      <w:r>
        <w:rPr>
          <w:b/>
          <w:bCs/>
          <w:i/>
          <w:iCs/>
        </w:rPr>
        <w:t>New insights</w:t>
      </w:r>
    </w:p>
    <w:p w14:paraId="0C899605" w14:textId="77777777" w:rsidR="0045262E" w:rsidRDefault="00000000">
      <w:pPr>
        <w:pStyle w:val="normalfirst"/>
        <w:rPr>
          <w:b/>
          <w:bCs/>
          <w:i/>
          <w:iCs/>
        </w:rPr>
      </w:pPr>
      <w:r>
        <w:rPr>
          <w:b/>
          <w:bCs/>
          <w:i/>
          <w:iCs/>
        </w:rPr>
        <w:t xml:space="preserve">AA </w:t>
      </w:r>
    </w:p>
    <w:p w14:paraId="154CFFFB" w14:textId="77777777" w:rsidR="0045262E" w:rsidRDefault="00000000">
      <w:pPr>
        <w:pStyle w:val="normalfirst"/>
      </w:pPr>
      <w:r>
        <w:rPr>
          <w:shd w:val="clear" w:color="auto" w:fill="FFFF00"/>
        </w:rPr>
        <w:t>&lt;edit&gt; &lt;forget about 89, just contrast 476 to 8</w:t>
      </w:r>
      <w:r>
        <w:t xml:space="preserve">9&gt; One example of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w:t>
      </w:r>
      <w:r>
        <w:lastRenderedPageBreak/>
        <w:t>responsible for the predominance of A&gt;T single base substitutions in the AA SBS signature and of the frequent involvement of adenines in the AA DBS signatures (Figure 1C,D).</w:t>
      </w:r>
    </w:p>
    <w:p w14:paraId="46050292" w14:textId="77777777" w:rsidR="0045262E" w:rsidRDefault="00000000">
      <w:pPr>
        <w:pStyle w:val="normalfirst"/>
        <w:rPr>
          <w:b/>
          <w:bCs/>
          <w:i/>
          <w:iCs/>
        </w:rPr>
      </w:pPr>
      <w:r>
        <w:rPr>
          <w:b/>
          <w:bCs/>
          <w:i/>
          <w:iCs/>
        </w:rPr>
        <w:t>InsDel17  vs InsDel8</w:t>
      </w:r>
    </w:p>
    <w:p w14:paraId="49407255" w14:textId="77777777" w:rsidR="0045262E" w:rsidRDefault="00000000">
      <w:pPr>
        <w:pStyle w:val="normalfirst"/>
        <w:rPr>
          <w:b/>
          <w:bCs/>
          <w:i/>
          <w:iCs/>
        </w:rPr>
      </w:pPr>
      <w:r>
        <w:rPr>
          <w:b/>
          <w:bCs/>
          <w:i/>
          <w:iCs/>
        </w:rPr>
        <w:t xml:space="preserve">A_beta looks like apobec in (already known) / a alpha not correlated  A beta is TCA → TA and TCT → TT, SBS2 TCA →  TTA, TCT → TTT SBS13 is TCA → TGA, TCT -&gt;TGT </w:t>
      </w:r>
      <w:hyperlink r:id="rId11">
        <w:r w:rsidR="0045262E">
          <w:rPr>
            <w:rStyle w:val="Hyperlink"/>
            <w:b/>
            <w:bCs/>
            <w:i/>
            <w:iCs/>
          </w:rPr>
          <w:t>https://www.sciencedirect.com/science/article/pii/S2211124722002996</w:t>
        </w:r>
      </w:hyperlink>
    </w:p>
    <w:p w14:paraId="486EF1CF" w14:textId="77777777" w:rsidR="0045262E" w:rsidRDefault="00000000">
      <w:pPr>
        <w:pStyle w:val="normalfirst"/>
        <w:rPr>
          <w:b/>
          <w:bCs/>
          <w:i/>
          <w:iCs/>
        </w:rPr>
      </w:pPr>
      <w:r>
        <w:rPr>
          <w:b/>
          <w:bCs/>
          <w:i/>
          <w:iCs/>
        </w:rPr>
        <w:t>Koh already cited the paper above; did the paper look at the context -- NO</w:t>
      </w:r>
    </w:p>
    <w:p w14:paraId="633F5E40" w14:textId="77777777" w:rsidR="0045262E" w:rsidRDefault="00000000">
      <w:pPr>
        <w:pStyle w:val="normalfirst"/>
        <w:rPr>
          <w:b/>
          <w:bCs/>
          <w:i/>
          <w:iCs/>
        </w:rPr>
      </w:pPr>
      <w:r>
        <w:rPr>
          <w:b/>
          <w:bCs/>
          <w:i/>
          <w:iCs/>
        </w:rPr>
        <w:t xml:space="preserve">UV: </w:t>
      </w:r>
      <w:hyperlink r:id="rId12">
        <w:r w:rsidR="0045262E">
          <w:rPr>
            <w:rStyle w:val="Hyperlink"/>
            <w:b/>
            <w:bCs/>
            <w:i/>
            <w:iCs/>
          </w:rPr>
          <w:t>https://share.google/aimode/iNBDfopq5IisBu9TY</w:t>
        </w:r>
      </w:hyperlink>
    </w:p>
    <w:p w14:paraId="110FA51B" w14:textId="77777777" w:rsidR="0045262E" w:rsidRDefault="00000000">
      <w:pPr>
        <w:pStyle w:val="normalfirst"/>
        <w:rPr>
          <w:b/>
          <w:bCs/>
          <w:i/>
          <w:iCs/>
        </w:rPr>
      </w:pPr>
      <w:r>
        <w:rPr>
          <w:b/>
          <w:bCs/>
          <w:i/>
          <w:iCs/>
        </w:rPr>
        <w:t>Sig H – 476 doesn’t really capture it</w:t>
      </w:r>
    </w:p>
    <w:p w14:paraId="203DA6D8" w14:textId="77777777" w:rsidR="0045262E" w:rsidRDefault="00000000">
      <w:pPr>
        <w:pStyle w:val="normalfirst"/>
        <w:rPr>
          <w:b/>
          <w:bCs/>
          <w:i/>
          <w:iCs/>
        </w:rPr>
      </w:pPr>
      <w:r>
        <w:rPr>
          <w:b/>
          <w:bCs/>
          <w:i/>
          <w:iCs/>
        </w:rPr>
        <w:t>N_beta is the new ID2</w:t>
      </w:r>
    </w:p>
    <w:p w14:paraId="7836827C" w14:textId="77777777" w:rsidR="0045262E" w:rsidRDefault="00000000">
      <w:pPr>
        <w:pStyle w:val="Heading2"/>
      </w:pPr>
      <w:r>
        <w:t>Signature activity</w:t>
      </w:r>
    </w:p>
    <w:p w14:paraId="5E38BCF7" w14:textId="77777777" w:rsidR="0045262E" w:rsidRDefault="00000000">
      <w:pPr>
        <w:rPr>
          <w:rFonts w:eastAsia="宋体"/>
        </w:rPr>
      </w:pPr>
      <w:r>
        <w:rPr>
          <w:rFonts w:eastAsia="宋体"/>
        </w:rPr>
        <w:t>We assessed sig activity / maybe ack limitiations and site our paper</w:t>
      </w:r>
    </w:p>
    <w:p w14:paraId="41B63B8D" w14:textId="77777777" w:rsidR="0045262E" w:rsidRDefault="00000000">
      <w:pPr>
        <w:rPr>
          <w:rFonts w:eastAsia="宋体"/>
        </w:rPr>
      </w:pPr>
      <w:r>
        <w:rPr>
          <w:rFonts w:eastAsia="宋体"/>
        </w:rPr>
        <w:t>New sigs are rarer.</w:t>
      </w:r>
    </w:p>
    <w:p w14:paraId="071778AD" w14:textId="77777777" w:rsidR="0045262E" w:rsidRDefault="00000000">
      <w:pPr>
        <w:rPr>
          <w:rFonts w:eastAsia="宋体"/>
        </w:rPr>
      </w:pPr>
      <w:r>
        <w:rPr>
          <w:rFonts w:eastAsia="宋体"/>
        </w:rPr>
        <w:t>Few surprises beyond splitting, except 2</w:t>
      </w:r>
    </w:p>
    <w:p w14:paraId="2A7D4044" w14:textId="77777777" w:rsidR="0045262E" w:rsidRDefault="00000000">
      <w:pPr>
        <w:rPr>
          <w:rFonts w:eastAsia="宋体"/>
        </w:rPr>
      </w:pPr>
      <w:r>
        <w:rPr>
          <w:rFonts w:eastAsia="宋体"/>
        </w:rPr>
        <w:t>H stands is new / doesn’t show in the plot; what is the statistical test for outliers in proportions?</w:t>
      </w:r>
    </w:p>
    <w:p w14:paraId="22174C1E" w14:textId="77777777" w:rsidR="0045262E" w:rsidRDefault="00000000">
      <w:r>
        <w:t xml:space="preserve"> (Figure </w:t>
      </w:r>
      <w:r>
        <w:rPr>
          <w:rFonts w:hint="eastAsia"/>
        </w:rPr>
        <w:t>4a</w:t>
      </w:r>
      <w: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t xml:space="preserve">). </w:t>
      </w:r>
      <w:r>
        <w:softHyphen/>
      </w:r>
      <w:r>
        <w:rPr>
          <w:shd w:val="clear" w:color="auto" w:fill="FFFF00"/>
        </w:rPr>
        <w:t>&lt;</w:t>
      </w:r>
      <w:commentRangeStart w:id="20"/>
      <w:r>
        <w:rPr>
          <w:shd w:val="clear" w:color="auto" w:fill="FFFF00"/>
        </w:rPr>
        <w:t>Maybe say B is clock-like</w:t>
      </w:r>
      <w:commentRangeEnd w:id="20"/>
      <w:r w:rsidR="001D376D">
        <w:rPr>
          <w:rStyle w:val="CommentReference"/>
          <w:sz w:val="24"/>
          <w:szCs w:val="24"/>
          <w:shd w:val="clear" w:color="auto" w:fill="FFFF00"/>
        </w:rPr>
        <w:commentReference w:id="20"/>
      </w:r>
      <w:r>
        <w:rPr>
          <w:shd w:val="clear" w:color="auto" w:fill="FFFF00"/>
        </w:rPr>
        <w:t>&gt;</w:t>
      </w:r>
    </w:p>
    <w:p w14:paraId="2CA262B7" w14:textId="6D0A591F" w:rsidR="0045262E" w:rsidRDefault="001D376D">
      <w:commentRangeStart w:id="21"/>
      <w:r w:rsidRPr="006D0961">
        <w:lastRenderedPageBreak/>
        <w:t>When an 83-type signature corresponded to multiple 89-type signatures, such as C_ID1 being represented by InsDel1a, InsDel1b, and InsDel1c, these subdivided signatures often exhibited cancer type specificity or reflected distinct mutational processes. For example, C_ID3, which is associated with tobacco smoking, was primarily identified in bladder, liver, and lung cancers. Among its subtypes, InsDel3a was most commonly observed in bladder cancer, whereas InsDel3b displayed a strong association with tobacco smoking and contributed predominantly to mutagenesis in liver and lung cancers.</w:t>
      </w:r>
      <w:r>
        <w:rPr>
          <w:rFonts w:eastAsia="宋体" w:hint="eastAsia"/>
        </w:rPr>
        <w:t xml:space="preserve"> </w:t>
      </w:r>
      <w:r w:rsidRPr="006D0961">
        <w:t>C_ID1 was present across nearly all cancer types. InsDel1a showed the highest prevalence in most cancer types and exhibited moderate activity levels. In contrast, InsDel1b accounted for a greater number of mutations in colon cancer and was associated with POLE deficiency and impaired DNA mismatch repair (Table SX; as also suggested by Koh et al., 2025).</w:t>
      </w:r>
      <w:r>
        <w:rPr>
          <w:rFonts w:eastAsia="宋体" w:hint="eastAsia"/>
        </w:rPr>
        <w:t xml:space="preserve"> </w:t>
      </w:r>
      <w:r w:rsidRPr="006D0961">
        <w:t>A similar pattern was observed for ID_N, which was found in all cancer types. Its sub-signature, InsDel_N</w:t>
      </w:r>
      <w:r w:rsidRPr="006D0961">
        <w:rPr>
          <w:rFonts w:eastAsia="宋体"/>
        </w:rPr>
        <w:t>α</w:t>
      </w:r>
      <w:r w:rsidRPr="006D0961">
        <w:t>, was specifically linked to POLE mutations and mismatch repair deficiency, whereas InsDel_N</w:t>
      </w:r>
      <w:r w:rsidRPr="006D0961">
        <w:rPr>
          <w:rFonts w:eastAsia="宋体"/>
        </w:rPr>
        <w:t>β</w:t>
      </w:r>
      <w:r w:rsidRPr="006D0961">
        <w:t xml:space="preserve"> was prevalent across a broad range of cancer types.</w:t>
      </w:r>
      <w:commentRangeEnd w:id="21"/>
      <w:r>
        <w:rPr>
          <w:rStyle w:val="CommentReference"/>
          <w:sz w:val="24"/>
          <w:szCs w:val="24"/>
        </w:rPr>
        <w:commentReference w:id="21"/>
      </w:r>
    </w:p>
    <w:p w14:paraId="7E6D81AA" w14:textId="77777777" w:rsidR="0045262E" w:rsidRDefault="00000000">
      <w:pPr>
        <w:pStyle w:val="Heading3"/>
        <w:numPr>
          <w:ilvl w:val="0"/>
          <w:numId w:val="0"/>
        </w:numPr>
        <w:rPr>
          <w:i/>
          <w:iCs/>
          <w:sz w:val="24"/>
          <w:szCs w:val="24"/>
        </w:rPr>
      </w:pPr>
      <w:commentRangeStart w:id="22"/>
      <w:r>
        <w:rPr>
          <w:i/>
          <w:iCs/>
          <w:sz w:val="24"/>
          <w:szCs w:val="24"/>
        </w:rPr>
        <w:t>Associations between indel signatures and SBS signatures</w:t>
      </w:r>
      <w:commentRangeEnd w:id="22"/>
      <w:r w:rsidR="001D376D">
        <w:rPr>
          <w:rStyle w:val="CommentReference"/>
          <w:i/>
          <w:iCs/>
          <w:sz w:val="24"/>
          <w:szCs w:val="24"/>
        </w:rPr>
        <w:commentReference w:id="22"/>
      </w:r>
    </w:p>
    <w:p w14:paraId="3F73AB5B" w14:textId="77777777" w:rsidR="001D376D" w:rsidRPr="006907DA" w:rsidRDefault="00000000" w:rsidP="001D376D">
      <w:r>
        <w:rPr>
          <w:shd w:val="clear" w:color="auto" w:fill="FFFF00"/>
        </w:rPr>
        <w:t xml:space="preserve">&lt;Call out the ones indicated in the figure&gt; </w:t>
      </w:r>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w:t>
      </w:r>
      <w:r>
        <w:rPr>
          <w:shd w:val="clear" w:color="auto" w:fill="FFFF00"/>
        </w:rPr>
        <w:t xml:space="preserve">&lt;We need to show this&gt; </w:t>
      </w:r>
      <w:r w:rsidR="001D376D" w:rsidRPr="006907DA">
        <w:t>Correlation analysis showed that the 89-type signature classification can distinguish more nuanced mutational processes than the 83-type scheme. These signatures displayed unique patterns of association with SBS signatures, emphasizing the improved resolution and specificity the 89-type taxonomy provides. Using unsupervised hierarchical clustering (see Methods), we grouped mutational signatures into distinct biological modules.</w:t>
      </w:r>
    </w:p>
    <w:p w14:paraId="53819441" w14:textId="77777777" w:rsidR="001D376D" w:rsidRPr="006907DA" w:rsidRDefault="001D376D" w:rsidP="001D376D">
      <w:r w:rsidRPr="006907DA">
        <w:lastRenderedPageBreak/>
        <w:t>For example, the APOBEC-related cluster, which includes SBS2 and SBS13, showed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2D2170E2" w14:textId="77777777" w:rsidR="001D376D" w:rsidRPr="006907DA" w:rsidRDefault="001D376D" w:rsidP="001D376D">
      <w:r w:rsidRPr="006907DA">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76F45DD2" w14:textId="77777777" w:rsidR="001D376D" w:rsidRPr="006907DA" w:rsidRDefault="001D376D" w:rsidP="001D376D">
      <w:r w:rsidRPr="006907DA">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0A33634A" w14:textId="17C04BAF" w:rsidR="0045262E" w:rsidRDefault="001D376D" w:rsidP="001D376D">
      <w:r w:rsidRPr="006907DA">
        <w:lastRenderedPageBreak/>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r>
        <w:t>.</w:t>
      </w:r>
    </w:p>
    <w:p w14:paraId="7074C195" w14:textId="77777777" w:rsidR="0045262E" w:rsidRDefault="00000000">
      <w:pPr>
        <w:pStyle w:val="Heading2"/>
      </w:pPr>
      <w:r>
        <w:rPr>
          <w:rFonts w:hint="eastAsia"/>
        </w:rPr>
        <w:t>Topography of indel mutational signatures</w:t>
      </w:r>
    </w:p>
    <w:p w14:paraId="4A3357B5" w14:textId="77777777" w:rsidR="0045262E" w:rsidRDefault="00000000">
      <w:r>
        <w:t>Interesting – ID_K lagging strand enrichment related to POLE</w:t>
      </w:r>
    </w:p>
    <w:p w14:paraId="2EB887DB" w14:textId="5EF644FD" w:rsidR="0045262E"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17 out of 33 83-type signatures (Figures </w:t>
      </w:r>
      <w:r>
        <w:rPr>
          <w:rFonts w:hint="eastAsia"/>
        </w:rPr>
        <w:t>6A and S4C</w:t>
      </w:r>
      <w:r>
        <w:t xml:space="preserve">, Table </w:t>
      </w:r>
      <w:r>
        <w:rPr>
          <w:rFonts w:hint="eastAsia"/>
        </w:rPr>
        <w:t>S4</w:t>
      </w:r>
      <w:r>
        <w:t>). Signatures attributed to exogenous mutational processes, such as C_ID3 (tobacco smoking exposure),</w:t>
      </w:r>
      <w:commentRangeStart w:id="23"/>
      <w:r>
        <w:t xml:space="preserve"> C_ID14 (</w:t>
      </w:r>
      <w:r>
        <w:rPr>
          <w:rFonts w:hint="eastAsia"/>
        </w:rPr>
        <w:t>SBS93 correlated</w:t>
      </w:r>
      <w:r>
        <w:t>)</w:t>
      </w:r>
      <w:commentRangeEnd w:id="23"/>
      <w:r>
        <w:rPr>
          <w:rStyle w:val="CommentReference"/>
          <w:sz w:val="24"/>
          <w:szCs w:val="24"/>
        </w:rPr>
        <w:commentReference w:id="23"/>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w:t>
      </w:r>
      <w:r>
        <w:lastRenderedPageBreak/>
        <w:t xml:space="preserve">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651B1ECE" w14:textId="77777777" w:rsidR="0045262E"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5C79A02C" w14:textId="77777777" w:rsidR="0045262E" w:rsidRDefault="00000000">
      <w:r>
        <w:t>The effect of DNA replication timing was also observed in many 83-type signatures</w:t>
      </w:r>
      <w:r>
        <w:rPr>
          <w:rFonts w:hint="eastAsia"/>
        </w:rPr>
        <w:t xml:space="preserve"> (Figure 6D &amp; S5</w:t>
      </w:r>
      <w:r>
        <w:t>, Table S-topo-2</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t>
      </w:r>
      <w:r>
        <w:lastRenderedPageBreak/>
        <w:t xml:space="preserve">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Several signatures showed cancer-specific enrichment in replication timing, including </w:t>
      </w:r>
      <w:r>
        <w:rPr>
          <w:rFonts w:hint="eastAsia"/>
        </w:rPr>
        <w:t>C_ID8</w:t>
      </w:r>
      <w: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102A1EF" w14:textId="77777777" w:rsidR="0045262E" w:rsidRDefault="00000000">
      <w:pPr>
        <w:pStyle w:val="Heading2"/>
      </w:pPr>
      <w:r>
        <w:t>New indel type classifications reveal an accurate signature of RNase H2 deficiency</w:t>
      </w:r>
    </w:p>
    <w:p w14:paraId="1D0B2186" w14:textId="77777777" w:rsidR="0045262E" w:rsidRDefault="00000000">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4" w:name="ZOTERO_BREF_xeDB1zkV4c3y"/>
      <w:r>
        <w:t>(Jin et al. 2024a; Reijns et al. 2022; Koh et al. 2025)</w:t>
      </w:r>
      <w:bookmarkEnd w:id="24"/>
      <w:r>
        <w:t xml:space="preserve">. However, we detected a new indel signature, InsDel_F,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w:t>
      </w:r>
      <w:r>
        <w:lastRenderedPageBreak/>
        <w:t>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4F11C109" w14:textId="77777777" w:rsidR="0045262E" w:rsidRDefault="0045262E">
      <w:pPr>
        <w:ind w:firstLine="0"/>
      </w:pPr>
    </w:p>
    <w:p w14:paraId="77274850" w14:textId="77777777" w:rsidR="0045262E" w:rsidRDefault="00000000">
      <w:pPr>
        <w:ind w:firstLine="0"/>
        <w:rPr>
          <w:color w:val="000000"/>
          <w:shd w:val="clear" w:color="auto" w:fill="FFFF00"/>
        </w:rPr>
      </w:pPr>
      <w:r>
        <w:rPr>
          <w:color w:val="000000"/>
          <w:shd w:val="clear" w:color="auto" w:fill="FFFF00"/>
        </w:rPr>
        <w:t>NOVEL SIGNATURES MAYBE JUST A TABLE</w:t>
      </w:r>
    </w:p>
    <w:p w14:paraId="07C80419" w14:textId="77777777" w:rsidR="001D376D" w:rsidRPr="002871C9" w:rsidRDefault="001D376D" w:rsidP="001D376D">
      <w:pPr>
        <w:pStyle w:val="Heading2"/>
        <w:rPr>
          <w:rFonts w:eastAsia="宋体"/>
        </w:rPr>
      </w:pPr>
      <w:commentRangeStart w:id="25"/>
      <w:r>
        <w:t>Demographic Associations</w:t>
      </w:r>
      <w:r>
        <w:rPr>
          <w:rFonts w:eastAsia="宋体" w:hint="eastAsia"/>
        </w:rPr>
        <w:t xml:space="preserve"> with Gender and Age</w:t>
      </w:r>
      <w:commentRangeEnd w:id="25"/>
      <w:r w:rsidRPr="002871C9">
        <w:rPr>
          <w:rStyle w:val="CommentReference"/>
          <w:rFonts w:eastAsia="宋体"/>
          <w:sz w:val="24"/>
          <w:szCs w:val="24"/>
        </w:rPr>
        <w:commentReference w:id="25"/>
      </w:r>
    </w:p>
    <w:p w14:paraId="1F51F47F" w14:textId="77777777" w:rsidR="001D376D" w:rsidRPr="008C7595" w:rsidRDefault="001D376D" w:rsidP="001D376D">
      <w:pPr>
        <w:rPr>
          <w:rFonts w:eastAsia="宋体"/>
        </w:rPr>
      </w:pPr>
      <w:r w:rsidRPr="008C7595">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(Figure 8A)</w:t>
      </w:r>
      <w:r w:rsidRPr="008C7595">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w:t>
      </w:r>
      <w:r w:rsidRPr="008C7595">
        <w:rPr>
          <w:rFonts w:eastAsia="宋体"/>
        </w:rPr>
        <w:lastRenderedPageBreak/>
        <w:t>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sidRPr="008C7595">
        <w:rPr>
          <w:rFonts w:eastAsia="宋体"/>
        </w:rPr>
        <w:t xml:space="preserve">their </w:t>
      </w:r>
      <w:r>
        <w:rPr>
          <w:rFonts w:eastAsia="宋体" w:hint="eastAsia"/>
        </w:rPr>
        <w:t xml:space="preserve">underlying </w:t>
      </w:r>
      <w:r w:rsidRPr="008C7595">
        <w:rPr>
          <w:rFonts w:eastAsia="宋体"/>
        </w:rPr>
        <w:t xml:space="preserve">biological </w:t>
      </w:r>
      <w:r>
        <w:rPr>
          <w:rFonts w:eastAsia="宋体" w:hint="eastAsia"/>
        </w:rPr>
        <w:t>processes might</w:t>
      </w:r>
      <w:r w:rsidRPr="008C7595">
        <w:rPr>
          <w:rFonts w:eastAsia="宋体"/>
        </w:rPr>
        <w:t xml:space="preserve"> be modulated by gender, shaping distinct patterns of cancer susceptibility and progression.</w:t>
      </w:r>
    </w:p>
    <w:p w14:paraId="261D7591" w14:textId="77777777" w:rsidR="001D376D" w:rsidRPr="00B01F70" w:rsidRDefault="001D376D" w:rsidP="001D376D">
      <w:pPr>
        <w:rPr>
          <w:rFonts w:eastAsia="宋体"/>
        </w:rPr>
      </w:pPr>
      <w:r w:rsidRPr="008C7595">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(Figure 8B)</w:t>
      </w:r>
      <w:r w:rsidRPr="008C7595">
        <w:rPr>
          <w:rFonts w:eastAsia="宋体"/>
        </w:rPr>
        <w:t xml:space="preserve">.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w:t>
      </w:r>
      <w:r w:rsidRPr="00B01F70">
        <w:rPr>
          <w:rFonts w:eastAsia="宋体"/>
        </w:rPr>
        <w:t>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sidRPr="00B01F70">
        <w:rPr>
          <w:rFonts w:eastAsia="宋体" w:hint="eastAsia"/>
          <w:highlight w:val="yellow"/>
        </w:rPr>
        <w:t>(Table SX)</w:t>
      </w:r>
      <w:r w:rsidRPr="00B01F70">
        <w:rPr>
          <w:rFonts w:eastAsia="宋体"/>
        </w:rPr>
        <w:t>. However, these broad pan-cancer associations likely reflect weak or heterogeneous age dependencies spread across multiple tumor types, rather than strong, tissue-specific age effects.</w:t>
      </w:r>
    </w:p>
    <w:p w14:paraId="5B74DD96" w14:textId="6AA3291E" w:rsidR="0045262E" w:rsidRDefault="001D376D" w:rsidP="001D376D">
      <w:pPr>
        <w:rPr>
          <w:rFonts w:eastAsia="宋体"/>
        </w:rPr>
      </w:pPr>
      <w:r>
        <w:rPr>
          <w:rFonts w:eastAsia="宋体" w:hint="eastAsia"/>
        </w:rPr>
        <w:lastRenderedPageBreak/>
        <w:t>Taken together</w:t>
      </w:r>
      <w:r w:rsidRPr="008C7595">
        <w:rPr>
          <w:rFonts w:eastAsia="宋体"/>
        </w:rPr>
        <w:t>, these analyses reveal a demographic landscape of mutational mechanisms, indicating that genomic instability is sculpted by both sex-specific biological influences and tissue-dependent aging processes.</w:t>
      </w:r>
    </w:p>
    <w:p w14:paraId="2F7F69F9" w14:textId="77777777" w:rsidR="0045262E" w:rsidRDefault="0045262E">
      <w:pPr>
        <w:rPr>
          <w:rFonts w:eastAsia="宋体"/>
        </w:rPr>
      </w:pPr>
    </w:p>
    <w:p w14:paraId="46114422" w14:textId="77777777" w:rsidR="0045262E" w:rsidRDefault="00000000">
      <w:pPr>
        <w:pStyle w:val="Heading1"/>
      </w:pPr>
      <w:r>
        <w:t>Discussion</w:t>
      </w:r>
    </w:p>
    <w:p w14:paraId="1F6F9B8E" w14:textId="0AAF07A7" w:rsidR="0045262E" w:rsidRDefault="00000000">
      <w:r>
        <w:t xml:space="preserve">Leveraging a novel nonparametric Bayesian framework, we conducted mutational signature analysis on over </w:t>
      </w:r>
      <w:r>
        <w:rPr>
          <w:rFonts w:hint="eastAsia"/>
        </w:rPr>
        <w:t>6,975</w:t>
      </w:r>
      <w:r>
        <w:t xml:space="preserve"> whole-genome tumor samples spanning </w:t>
      </w:r>
      <w:r w:rsidR="001D376D">
        <w:rPr>
          <w:rFonts w:eastAsia="宋体" w:hint="eastAsia"/>
        </w:rPr>
        <w:t>32</w:t>
      </w:r>
      <w:r>
        <w:t xml:space="preserve"> cancer types from the PCAWG and HMF cohorts. As the first study to apply </w:t>
      </w:r>
      <w:r w:rsidR="001D376D">
        <w:rPr>
          <w:rFonts w:eastAsia="宋体" w:hint="eastAsia"/>
        </w:rPr>
        <w:t>all indel</w:t>
      </w:r>
      <w:r>
        <w:t xml:space="preserve"> taxonomies</w:t>
      </w:r>
      <w:r w:rsidR="001D376D">
        <w:rPr>
          <w:rFonts w:eastAsia="宋体" w:hint="eastAsia"/>
        </w:rPr>
        <w:t xml:space="preserve">, </w:t>
      </w:r>
      <w:r w:rsidR="001D376D">
        <w:t>the 83-type and 89-type</w:t>
      </w:r>
      <w:r w:rsidR="001D376D">
        <w:rPr>
          <w:rFonts w:eastAsia="宋体" w:hint="eastAsia"/>
        </w:rPr>
        <w:t xml:space="preserve"> and 476-type,</w:t>
      </w:r>
      <w:r>
        <w:t xml:space="preserve"> to such a large dataset, we established a comprehensive catalog of 3</w:t>
      </w:r>
      <w:r w:rsidR="001D376D">
        <w:rPr>
          <w:rFonts w:eastAsia="宋体" w:hint="eastAsia"/>
        </w:rPr>
        <w:t>4</w:t>
      </w:r>
      <w:r>
        <w:t xml:space="preserve"> 83-type and 4</w:t>
      </w:r>
      <w:r w:rsidR="001D376D">
        <w:rPr>
          <w:rFonts w:eastAsia="宋体" w:hint="eastAsia"/>
        </w:rPr>
        <w:t>4</w:t>
      </w:r>
      <w:r>
        <w:t xml:space="preserve"> 89-type signatures, alongside a unified mapping system to facilitate cross-referencing of signatures between the two classifications. Notably, we discovered two novel indel signatures (ID_F and InsDel_F) associated with TOP1-TAM</w:t>
      </w:r>
      <w:r w:rsidR="001D376D">
        <w:rPr>
          <w:rFonts w:eastAsia="宋体" w:hint="eastAsia"/>
        </w:rPr>
        <w:t xml:space="preserve"> by a de-novo extraction approach</w:t>
      </w:r>
      <w: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14:paraId="17AF49D7" w14:textId="77777777" w:rsidR="0045262E"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 xml:space="preserve">However, challenges remain in connecting the nomenclature of 89-type signatures to the established 83-type signatures. For instance, COSMIC ID5 is recognized as a clock-like </w:t>
      </w:r>
      <w:r>
        <w:lastRenderedPageBreak/>
        <w:t>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3AB079DF" w14:textId="77777777" w:rsidR="0045262E"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1F4045C4" w14:textId="77777777" w:rsidR="0045262E" w:rsidRDefault="00000000">
      <w:pPr>
        <w:pStyle w:val="Heading1"/>
      </w:pPr>
      <w:r>
        <w:t>Materials and methods</w:t>
      </w:r>
    </w:p>
    <w:p w14:paraId="7FC13D4D" w14:textId="77777777" w:rsidR="0045262E" w:rsidRDefault="00000000">
      <w:pPr>
        <w:pStyle w:val="Heading2"/>
      </w:pPr>
      <w:r>
        <w:t>Data sources</w:t>
      </w:r>
    </w:p>
    <w:p w14:paraId="3359AFA8" w14:textId="77777777" w:rsidR="0045262E"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4">
        <w:r w:rsidR="0045262E">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w:t>
      </w:r>
      <w:r>
        <w:lastRenderedPageBreak/>
        <w:t xml:space="preserve">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5">
            <w:r w:rsidR="0045262E">
              <w:rPr>
                <w:rStyle w:val="Hyperlink"/>
              </w:rPr>
              <w:t>https://cancer.sanger.ac.uk/cosmic/census?tier=1</w:t>
            </w:r>
          </w:hyperlink>
          <w:r>
            <w:rPr>
              <w:rFonts w:hint="eastAsia"/>
              <w:color w:val="000000"/>
            </w:rPr>
            <w:t xml:space="preserve"> on 9 Jun, 2024</w:t>
          </w:r>
          <w:r>
            <w:rPr>
              <w:color w:val="000000"/>
            </w:rPr>
            <w:t>)</w:t>
          </w:r>
        </w:sdtContent>
      </w:sdt>
      <w:r>
        <w:t>.</w:t>
      </w:r>
    </w:p>
    <w:p w14:paraId="12B47D1A" w14:textId="77777777" w:rsidR="0045262E" w:rsidRDefault="00000000">
      <w:pPr>
        <w:pStyle w:val="Heading2"/>
      </w:pPr>
      <w:r>
        <w:rPr>
          <w:rFonts w:hint="eastAsia"/>
        </w:rPr>
        <w:t xml:space="preserve">De novo </w:t>
      </w:r>
      <w:r>
        <w:t>Mutational signature extraction</w:t>
      </w:r>
    </w:p>
    <w:p w14:paraId="31300359" w14:textId="77777777" w:rsidR="0045262E"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19FD29F4" w14:textId="77777777" w:rsidR="0045262E"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203F2718" w14:textId="77777777" w:rsidR="0045262E"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w:t>
      </w:r>
      <w:r>
        <w:rPr>
          <w:rFonts w:eastAsiaTheme="minorEastAsia"/>
        </w:rPr>
        <w:lastRenderedPageBreak/>
        <w:t>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31CB9910" w14:textId="77777777" w:rsidR="0045262E"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6ABBD061" w14:textId="77777777" w:rsidR="0045262E"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6">
        <w:r w:rsidR="0045262E">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423603B6" w14:textId="77777777" w:rsidR="0045262E"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2D393B3B" w14:textId="77777777" w:rsidR="0045262E" w:rsidRDefault="00000000">
      <w:pPr>
        <w:pStyle w:val="Heading2"/>
        <w:rPr>
          <w:rFonts w:eastAsia="宋体"/>
        </w:rPr>
      </w:pPr>
      <w:r>
        <w:rPr>
          <w:rFonts w:eastAsia="宋体" w:hint="eastAsia"/>
        </w:rPr>
        <w:t>Assignment of signature activity to each individual genome</w:t>
      </w:r>
    </w:p>
    <w:p w14:paraId="07A1FF4F" w14:textId="026EBC3E" w:rsidR="0045262E"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26"/>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sidR="001D376D">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SigTools R package (v1.0.7), which </w:t>
      </w:r>
      <w:r>
        <w:lastRenderedPageBreak/>
        <w:t>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commentRangeEnd w:id="26"/>
      <w:r>
        <w:rPr>
          <w:rStyle w:val="CommentReference"/>
          <w:rFonts w:eastAsia="宋体" w:hint="eastAsia"/>
          <w:sz w:val="24"/>
          <w:szCs w:val="24"/>
        </w:rPr>
        <w:commentReference w:id="26"/>
      </w:r>
      <w:r>
        <w:rPr>
          <w:rFonts w:eastAsia="宋体" w:hint="eastAsia"/>
        </w:rPr>
        <w:t>.</w:t>
      </w:r>
    </w:p>
    <w:p w14:paraId="6DFD876E" w14:textId="77777777" w:rsidR="0045262E" w:rsidRDefault="00000000">
      <w:pPr>
        <w:pStyle w:val="normalfirst"/>
        <w:ind w:firstLineChars="200" w:firstLine="480"/>
      </w:pPr>
      <w:commentRangeStart w:id="27"/>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27"/>
      <w:r>
        <w:rPr>
          <w:rStyle w:val="CommentReference"/>
          <w:sz w:val="24"/>
          <w:szCs w:val="24"/>
        </w:rPr>
        <w:commentReference w:id="27"/>
      </w:r>
    </w:p>
    <w:p w14:paraId="17278537" w14:textId="77777777" w:rsidR="0045262E" w:rsidRDefault="00000000">
      <w:pPr>
        <w:pStyle w:val="normalfirst"/>
      </w:pPr>
      <w:r>
        <w:rPr>
          <w:rFonts w:hint="eastAsia"/>
        </w:rPr>
        <w:t xml:space="preserve"> </w:t>
      </w:r>
    </w:p>
    <w:p w14:paraId="622E5E8D" w14:textId="77777777" w:rsidR="0045262E" w:rsidRDefault="00000000">
      <w:pPr>
        <w:pStyle w:val="Heading2"/>
        <w:rPr>
          <w:rFonts w:eastAsia="宋体"/>
        </w:rPr>
      </w:pPr>
      <w:r>
        <w:rPr>
          <w:rFonts w:eastAsia="宋体"/>
        </w:rPr>
        <w:t>Simulating synthetic cancer datasets</w:t>
      </w:r>
    </w:p>
    <w:p w14:paraId="27EE43AE" w14:textId="77777777" w:rsidR="0045262E"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7">
        <w:r w:rsidR="0045262E">
          <w:rPr>
            <w:rStyle w:val="Hyperlink"/>
          </w:rPr>
          <w:t>https://bmcbioinformatics.biomedcentral.com/articles/10.1186/s12859-020-03772-3</w:t>
        </w:r>
      </w:hyperlink>
      <w:r>
        <w:t xml:space="preserve">). </w:t>
      </w:r>
    </w:p>
    <w:p w14:paraId="7AA738BC" w14:textId="77777777" w:rsidR="0045262E" w:rsidRDefault="00000000">
      <w:pPr>
        <w:pStyle w:val="Heading2"/>
        <w:rPr>
          <w:rFonts w:eastAsia="宋体"/>
        </w:rPr>
      </w:pPr>
      <w:r>
        <w:rPr>
          <w:rFonts w:eastAsia="宋体"/>
        </w:rPr>
        <w:lastRenderedPageBreak/>
        <w:t>Annotating somatic indels based on transcribed versus un-transcribed strand</w:t>
      </w:r>
    </w:p>
    <w:p w14:paraId="7C386BEB" w14:textId="77777777" w:rsidR="0045262E" w:rsidRDefault="00000000">
      <w:pPr>
        <w:ind w:firstLine="0"/>
      </w:pPr>
      <w:r>
        <w:t>We followed the method in (</w:t>
      </w:r>
      <w:hyperlink r:id="rId18">
        <w:r w:rsidR="0045262E">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1B911EAB" w14:textId="77777777" w:rsidR="0045262E" w:rsidRDefault="00000000">
      <w:pPr>
        <w:pStyle w:val="Heading2"/>
        <w:rPr>
          <w:rFonts w:eastAsia="宋体"/>
        </w:rPr>
      </w:pPr>
      <w:r>
        <w:rPr>
          <w:rFonts w:eastAsia="宋体"/>
        </w:rPr>
        <w:t>Annotating somatic indels based on leading versus lagging replication strand</w:t>
      </w:r>
    </w:p>
    <w:p w14:paraId="2952492F" w14:textId="77777777" w:rsidR="0045262E" w:rsidRDefault="00000000">
      <w:r>
        <w:t>Replication strand was determined by wavelet-smoothed replication-timing signal data that indicated both “valleys” (replication termination zones) and “peaks” (replication initiation zones) (</w:t>
      </w:r>
      <w:hyperlink r:id="rId19">
        <w:r w:rsidR="0045262E">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54CE595A" w14:textId="77777777" w:rsidR="0045262E" w:rsidRDefault="00000000">
      <w:pPr>
        <w:pStyle w:val="Heading2"/>
        <w:rPr>
          <w:rFonts w:eastAsia="宋体"/>
        </w:rPr>
      </w:pPr>
      <w:r>
        <w:rPr>
          <w:rFonts w:eastAsia="宋体"/>
        </w:rPr>
        <w:lastRenderedPageBreak/>
        <w:t>Detecting strand asymmetries across cancer types</w:t>
      </w:r>
    </w:p>
    <w:p w14:paraId="0B46C444" w14:textId="77777777" w:rsidR="0045262E"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34E40DC4" w14:textId="77777777" w:rsidR="0045262E"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2BF0E05C" w14:textId="77777777" w:rsidR="0045262E" w:rsidRDefault="0045262E">
      <w:pPr>
        <w:rPr>
          <w:i/>
        </w:rPr>
      </w:pPr>
    </w:p>
    <w:p w14:paraId="52DC0030" w14:textId="77777777" w:rsidR="0045262E" w:rsidRDefault="0045262E"/>
    <w:p w14:paraId="5D001850" w14:textId="77777777" w:rsidR="0045262E" w:rsidRDefault="00000000">
      <w:r>
        <w:t>Odds ratio between the ratio of real somatic indels and the ratio of simulated somatic indels was calculated:</w:t>
      </w:r>
    </w:p>
    <w:p w14:paraId="67B19DF6" w14:textId="77777777" w:rsidR="0045262E" w:rsidRDefault="0045262E"/>
    <w:p w14:paraId="2405CB99" w14:textId="77777777" w:rsidR="0045262E" w:rsidRDefault="00000000">
      <w:r>
        <w:t>p values were calculated for the odds ratio using Fisher’s exact test. Only strand asymmetries with p value &gt; 0.05 were considered showing strand asymmetries.</w:t>
      </w:r>
    </w:p>
    <w:p w14:paraId="0D606F46" w14:textId="77777777" w:rsidR="0045262E" w:rsidRDefault="00000000">
      <w:pPr>
        <w:pStyle w:val="Heading2"/>
        <w:rPr>
          <w:rFonts w:eastAsia="宋体"/>
        </w:rPr>
      </w:pPr>
      <w:r>
        <w:rPr>
          <w:rFonts w:eastAsia="宋体"/>
        </w:rPr>
        <w:lastRenderedPageBreak/>
        <w:t>Analyses of replication timing across cancer types</w:t>
      </w:r>
    </w:p>
    <w:p w14:paraId="479976DE" w14:textId="77777777" w:rsidR="0045262E" w:rsidRDefault="00000000">
      <w:r>
        <w:t>Replication timing data were obtained from (</w:t>
      </w:r>
      <w:hyperlink r:id="rId20">
        <w:r w:rsidR="0045262E">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65720374" w14:textId="77777777" w:rsidR="0045262E"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61FB6D0E" w14:textId="77777777" w:rsidR="0045262E" w:rsidRDefault="00000000">
      <w:pPr>
        <w:rPr>
          <w:shd w:val="clear" w:color="auto" w:fill="FFFF00"/>
        </w:rPr>
      </w:pPr>
      <w:r>
        <w:rPr>
          <w:shd w:val="clear" w:color="auto" w:fill="FFFF00"/>
        </w:rPr>
        <w:t>&lt;MISSING EQUATIONS HERE&gt;</w:t>
      </w:r>
    </w:p>
    <w:p w14:paraId="05938BDB" w14:textId="77777777" w:rsidR="0045262E" w:rsidRDefault="0045262E"/>
    <w:p w14:paraId="0868F4E7" w14:textId="77777777" w:rsidR="0045262E" w:rsidRDefault="00000000">
      <w:r>
        <w:t>In the above formula, replication timing denotes a vector c(1,2,3 … 10).</w:t>
      </w:r>
    </w:p>
    <w:p w14:paraId="3D87F911" w14:textId="77777777" w:rsidR="0045262E"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246ACF07" w14:textId="77777777" w:rsidR="0045262E" w:rsidRDefault="00000000">
      <w:pPr>
        <w:rPr>
          <w:rFonts w:eastAsia="宋体"/>
        </w:rPr>
      </w:pPr>
      <w:r>
        <w:lastRenderedPageBreak/>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30950ED2" w14:textId="77777777" w:rsidR="0045262E" w:rsidRDefault="0045262E">
      <w:pPr>
        <w:rPr>
          <w:rFonts w:eastAsia="宋体"/>
        </w:rPr>
      </w:pPr>
    </w:p>
    <w:p w14:paraId="61664882" w14:textId="77777777" w:rsidR="0045262E"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2BF8823D" w14:textId="77777777" w:rsidR="0045262E"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77A91DEC" w14:textId="77777777" w:rsidR="0045262E"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2DEDD6AE" w14:textId="77777777" w:rsidR="0045262E"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1" w:anchor="!Synapse:syn8016399" w:history="1">
        <w:r w:rsidR="0045262E">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 xml:space="preserve">The genomes with &gt;14,000 IDs and &gt;15,000 SBSs were labelled as high </w:t>
      </w:r>
      <w:r>
        <w:rPr>
          <w:rFonts w:hint="eastAsia"/>
          <w:color w:val="000000"/>
        </w:rPr>
        <w:lastRenderedPageBreak/>
        <w:t>TMB tumors. The thresholds were selected based on the minimum number of mutations of the pre-defined MSI tumors. We then used MSI-seq to predict the MSI status of high TMB tumors.</w:t>
      </w:r>
    </w:p>
    <w:p w14:paraId="18519313" w14:textId="77777777" w:rsidR="0045262E" w:rsidRDefault="00000000">
      <w:pPr>
        <w:pStyle w:val="Heading2"/>
        <w:rPr>
          <w:rFonts w:eastAsia="宋体"/>
        </w:rPr>
      </w:pPr>
      <w:r>
        <w:rPr>
          <w:rFonts w:eastAsia="宋体"/>
        </w:rPr>
        <w:t>Extended sequence context</w:t>
      </w:r>
      <w:r>
        <w:rPr>
          <w:rFonts w:eastAsia="宋体" w:hint="eastAsia"/>
        </w:rPr>
        <w:t xml:space="preserve"> analysis</w:t>
      </w:r>
    </w:p>
    <w:p w14:paraId="0C840CC8" w14:textId="77777777" w:rsidR="0045262E"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40EB1612" w14:textId="77777777" w:rsidR="0045262E" w:rsidRDefault="0045262E">
      <w:pPr>
        <w:pStyle w:val="Heading1"/>
      </w:pPr>
    </w:p>
    <w:p w14:paraId="15BA79F9" w14:textId="77777777" w:rsidR="0045262E" w:rsidRDefault="00000000">
      <w:pPr>
        <w:pStyle w:val="Heading1"/>
      </w:pPr>
      <w:r>
        <w:rPr>
          <w:rFonts w:hint="eastAsia"/>
        </w:rPr>
        <w:t>Funding</w:t>
      </w:r>
    </w:p>
    <w:p w14:paraId="2DE5F93C" w14:textId="77777777" w:rsidR="0045262E"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6A9739FA" w14:textId="77777777" w:rsidR="0045262E" w:rsidRDefault="00000000">
      <w:pPr>
        <w:pStyle w:val="Heading1"/>
      </w:pPr>
      <w:r>
        <w:rPr>
          <w:rFonts w:hint="eastAsia"/>
        </w:rPr>
        <w:t>Author contributions</w:t>
      </w:r>
    </w:p>
    <w:p w14:paraId="46981B17" w14:textId="77777777" w:rsidR="0045262E" w:rsidRDefault="00000000">
      <w:pPr>
        <w:pStyle w:val="normalfirst"/>
      </w:pPr>
      <w:r>
        <w:rPr>
          <w:rFonts w:hint="eastAsia"/>
        </w:rPr>
        <w:t xml:space="preserve">M.L. and S.G.R. conceived the project and designed the analyses. M.L. and S.G.R. designed computational analysis. M.L., Q.Z. and Y.Y. performed mutational signature extraction, </w:t>
      </w:r>
      <w:r>
        <w:rPr>
          <w:rFonts w:hint="eastAsia"/>
        </w:rPr>
        <w:lastRenderedPageBreak/>
        <w:t xml:space="preserve">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54541114" w14:textId="77777777" w:rsidR="0045262E" w:rsidRDefault="00000000">
      <w:pPr>
        <w:pStyle w:val="Heading1"/>
      </w:pPr>
      <w:r>
        <w:t>Reference</w:t>
      </w:r>
    </w:p>
    <w:p w14:paraId="3820104C" w14:textId="77777777" w:rsidR="0045262E" w:rsidRDefault="00000000">
      <w:pPr>
        <w:pStyle w:val="Bibliography1"/>
      </w:pPr>
      <w:bookmarkStart w:id="28"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11DF9E4" w14:textId="77777777" w:rsidR="0045262E"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36088834" w14:textId="77777777" w:rsidR="0045262E"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005E0DB5" w14:textId="77777777" w:rsidR="0045262E"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34091ED" w14:textId="77777777" w:rsidR="0045262E"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4F2AFB47" w14:textId="77777777" w:rsidR="0045262E" w:rsidRDefault="00000000">
      <w:pPr>
        <w:pStyle w:val="Bibliography1"/>
      </w:pPr>
      <w:r>
        <w:lastRenderedPageBreak/>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3EF6B446" w14:textId="77777777" w:rsidR="0045262E"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196EC756" w14:textId="77777777" w:rsidR="0045262E"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49E1E2EB" w14:textId="77777777" w:rsidR="0045262E"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9CB1F71" w14:textId="77777777" w:rsidR="0045262E"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0823C99" w14:textId="77777777" w:rsidR="0045262E"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1F5B6784" w14:textId="77777777" w:rsidR="0045262E" w:rsidRDefault="00000000">
      <w:pPr>
        <w:pStyle w:val="Bibliography1"/>
      </w:pPr>
      <w:r>
        <w:lastRenderedPageBreak/>
        <w:t xml:space="preserve">Huang, Mi Ni, Willie Yu, Wei Wei Teoh, et al. 2017. ‘Genome-Scale Mutational Signatures of Aflatoxin in Cells, Mice, and Human Tumors’. </w:t>
      </w:r>
      <w:r>
        <w:rPr>
          <w:i/>
        </w:rPr>
        <w:t>Genome Research</w:t>
      </w:r>
      <w:r>
        <w:t xml:space="preserve"> 27 (9): 1475–86. https://doi.org/10.1101/gr.220038.116.</w:t>
      </w:r>
    </w:p>
    <w:p w14:paraId="109EF3B2" w14:textId="77777777" w:rsidR="0045262E"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3CF7B03E" w14:textId="77777777" w:rsidR="0045262E"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0531220A" w14:textId="77777777" w:rsidR="0045262E"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48F39DD1" w14:textId="77777777" w:rsidR="0045262E"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44FA4001" w14:textId="77777777" w:rsidR="0045262E"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4F76417A" w14:textId="77777777" w:rsidR="0045262E"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06BABA5E" w14:textId="77777777" w:rsidR="0045262E" w:rsidRDefault="00000000">
      <w:pPr>
        <w:pStyle w:val="Bibliography1"/>
      </w:pPr>
      <w:r>
        <w:lastRenderedPageBreak/>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448C61D8" w14:textId="77777777" w:rsidR="0045262E"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58927010" w14:textId="77777777" w:rsidR="0045262E"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04E1F26E" w14:textId="77777777" w:rsidR="0045262E"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6B1E068D" w14:textId="77777777" w:rsidR="0045262E"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79EE4FF2" w14:textId="77777777" w:rsidR="0045262E"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467DF984" w14:textId="77777777" w:rsidR="0045262E"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8"/>
    </w:p>
    <w:p w14:paraId="69DA0781" w14:textId="77777777" w:rsidR="0045262E" w:rsidRDefault="0045262E"/>
    <w:sectPr w:rsidR="0045262E">
      <w:footerReference w:type="even" r:id="rId22"/>
      <w:footerReference w:type="default" r:id="rId23"/>
      <w:footerReference w:type="first" r:id="rId24"/>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o Liu" w:date="2026-04-10T16:58:00Z" w:initials="ML">
    <w:p w14:paraId="01000000" w14:textId="77777777" w:rsidR="0045262E" w:rsidRDefault="00000000">
      <w:pPr>
        <w:spacing w:after="0" w:line="240" w:lineRule="auto"/>
      </w:pPr>
      <w:r>
        <w:annotationRef/>
      </w:r>
      <w:r>
        <w:rPr>
          <w:rFonts w:ascii="Calibri" w:eastAsia="宋体" w:hAnsi="Calibri" w:cs="Noto Sans Arabic UI"/>
          <w:sz w:val="22"/>
          <w:szCs w:val="22"/>
        </w:rPr>
        <w:t>Mo will prepare a sup tables show hdp and sigpro version signatures</w:t>
      </w:r>
    </w:p>
  </w:comment>
  <w:comment w:id="16" w:author="Mo Liu" w:date="2026-04-16T22:24:00Z" w:initials="ML">
    <w:p w14:paraId="02000000" w14:textId="77777777" w:rsidR="0045262E" w:rsidRDefault="00000000">
      <w:pPr>
        <w:spacing w:after="0" w:line="240" w:lineRule="auto"/>
      </w:pPr>
      <w:r>
        <w:annotationRef/>
      </w:r>
      <w:r>
        <w:rPr>
          <w:rFonts w:ascii="Calibri" w:eastAsia="宋体" w:hAnsi="Calibri" w:cs="Noto Sans Arabic UI"/>
          <w:sz w:val="22"/>
          <w:szCs w:val="22"/>
        </w:rPr>
        <w:t>Done</w:t>
      </w:r>
    </w:p>
  </w:comment>
  <w:comment w:id="17" w:author="Mo Liu" w:date="2026-04-28T20:06:00Z" w:initials="ML">
    <w:p w14:paraId="03000000" w14:textId="77777777" w:rsidR="0045262E" w:rsidRDefault="00000000">
      <w:pPr>
        <w:spacing w:after="0" w:line="240" w:lineRule="auto"/>
      </w:pPr>
      <w:r>
        <w:annotationRef/>
      </w:r>
      <w:r>
        <w:rPr>
          <w:rFonts w:ascii="Calibri" w:eastAsia="宋体" w:hAnsi="Calibri" w:cs="Noto Sans Arabic UI"/>
          <w:sz w:val="22"/>
          <w:szCs w:val="22"/>
        </w:rPr>
        <w:t>A separate sup table</w:t>
      </w:r>
    </w:p>
  </w:comment>
  <w:comment w:id="20" w:author="Mo Liu" w:date="2026-05-06T20:27:00Z" w:initials="ML">
    <w:p w14:paraId="34F4183D" w14:textId="4195D2F7" w:rsidR="001D376D" w:rsidRDefault="001D376D" w:rsidP="001D376D">
      <w:pPr>
        <w:pStyle w:val="CommentText"/>
        <w:ind w:firstLine="0"/>
      </w:pPr>
      <w:r>
        <w:rPr>
          <w:rStyle w:val="CommentReference"/>
        </w:rPr>
        <w:annotationRef/>
      </w:r>
      <w:r>
        <w:t xml:space="preserve">We showed this in the last section of the paper. </w:t>
      </w:r>
    </w:p>
  </w:comment>
  <w:comment w:id="21" w:author="Mo Liu" w:date="2026-05-06T20:28:00Z" w:initials="ML">
    <w:p w14:paraId="4109FC0A" w14:textId="77777777" w:rsidR="001D376D" w:rsidRDefault="001D376D" w:rsidP="001D376D">
      <w:pPr>
        <w:pStyle w:val="CommentText"/>
        <w:ind w:firstLine="0"/>
      </w:pPr>
      <w:r>
        <w:rPr>
          <w:rStyle w:val="CommentReference"/>
        </w:rPr>
        <w:annotationRef/>
      </w:r>
      <w:r>
        <w:t>Mo wrote new paragraph</w:t>
      </w:r>
    </w:p>
  </w:comment>
  <w:comment w:id="22" w:author="Mo Liu" w:date="2026-05-06T20:28:00Z" w:initials="ML">
    <w:p w14:paraId="3804C0D0" w14:textId="77777777" w:rsidR="001D376D" w:rsidRDefault="001D376D" w:rsidP="001D376D">
      <w:pPr>
        <w:pStyle w:val="CommentText"/>
        <w:ind w:firstLine="0"/>
      </w:pPr>
      <w:r>
        <w:rPr>
          <w:rStyle w:val="CommentReference"/>
        </w:rPr>
        <w:annotationRef/>
      </w:r>
      <w:r>
        <w:t>Mo finished writing for this section</w:t>
      </w:r>
    </w:p>
  </w:comment>
  <w:comment w:id="23" w:author="Mo Liu" w:date="2026-04-03T21:55:00Z" w:initials="ML">
    <w:p w14:paraId="0653C03E" w14:textId="77777777" w:rsidR="0045262E" w:rsidRDefault="00000000">
      <w:pPr>
        <w:overflowPunct w:val="0"/>
        <w:spacing w:after="0" w:line="240" w:lineRule="auto"/>
      </w:pPr>
      <w:r>
        <w:annotationRef/>
      </w:r>
      <w:r>
        <w:rPr>
          <w:rFonts w:ascii="Calibri" w:eastAsia="宋体" w:hAnsi="Calibri" w:cs="Noto Sans Arabic UI"/>
          <w:sz w:val="22"/>
          <w:szCs w:val="22"/>
        </w:rPr>
        <w:t>Figure 5 shows C_ID14’s high correlation with SBS93, the TSB further supports its formation due to DNA adduct</w:t>
      </w:r>
    </w:p>
  </w:comment>
  <w:comment w:id="25" w:author="Mo Liu" w:date="2026-05-06T15:46:00Z" w:initials="ML">
    <w:p w14:paraId="1035BA1C" w14:textId="77777777" w:rsidR="001D376D" w:rsidRDefault="001D376D" w:rsidP="001D376D">
      <w:pPr>
        <w:pStyle w:val="CommentText"/>
        <w:ind w:firstLine="0"/>
      </w:pPr>
      <w:r>
        <w:rPr>
          <w:rStyle w:val="CommentReference"/>
        </w:rPr>
        <w:annotationRef/>
      </w:r>
      <w:r>
        <w:t>Mo finished writing for this section</w:t>
      </w:r>
    </w:p>
  </w:comment>
  <w:comment w:id="26" w:author="Mo Liu" w:date="2026-04-07T16:26:00Z" w:initials="ML">
    <w:p w14:paraId="592A41D1" w14:textId="77777777" w:rsidR="0045262E" w:rsidRDefault="00000000">
      <w:pPr>
        <w:spacing w:after="0" w:line="240" w:lineRule="auto"/>
      </w:pPr>
      <w:r>
        <w:annotationRef/>
      </w:r>
      <w:r>
        <w:rPr>
          <w:rFonts w:ascii="Calibri" w:eastAsia="宋体" w:hAnsi="Calibri" w:cs="Noto Sans Arabic UI"/>
          <w:sz w:val="22"/>
          <w:szCs w:val="22"/>
        </w:rPr>
        <w:t>Mo edit</w:t>
      </w:r>
    </w:p>
  </w:comment>
  <w:comment w:id="27" w:author="Mo Liu" w:date="2026-04-07T16:27:00Z" w:initials="ML">
    <w:p w14:paraId="3D06AA43" w14:textId="77777777" w:rsidR="001D376D" w:rsidRDefault="00000000" w:rsidP="001D376D">
      <w:pPr>
        <w:pStyle w:val="CommentText"/>
        <w:ind w:firstLine="0"/>
      </w:pPr>
      <w:r>
        <w:annotationRef/>
      </w:r>
      <w:r w:rsidR="001D376D">
        <w:t>To Steve: Please check if you edited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00000" w15:done="0"/>
  <w15:commentEx w15:paraId="02000000" w15:paraIdParent="01000000" w15:done="0"/>
  <w15:commentEx w15:paraId="03000000" w15:paraIdParent="01000000" w15:done="0"/>
  <w15:commentEx w15:paraId="34F4183D" w15:done="0"/>
  <w15:commentEx w15:paraId="4109FC0A" w15:done="0"/>
  <w15:commentEx w15:paraId="3804C0D0" w15:done="0"/>
  <w15:commentEx w15:paraId="0653C03E" w15:done="0"/>
  <w15:commentEx w15:paraId="1035BA1C" w15:done="0"/>
  <w15:commentEx w15:paraId="592A41D1" w15:done="0"/>
  <w15:commentEx w15:paraId="3D06AA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D3AF78" w16cex:dateUtc="2026-05-06T12:27:00Z"/>
  <w16cex:commentExtensible w16cex:durableId="15DF1C4A" w16cex:dateUtc="2026-05-06T12:28:00Z"/>
  <w16cex:commentExtensible w16cex:durableId="1C0B4548" w16cex:dateUtc="2026-05-06T12:28:00Z"/>
  <w16cex:commentExtensible w16cex:durableId="6E931F6C" w16cex:dateUtc="2026-05-06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00000" w16cid:durableId="01000000"/>
  <w16cid:commentId w16cid:paraId="02000000" w16cid:durableId="02000000"/>
  <w16cid:commentId w16cid:paraId="03000000" w16cid:durableId="03000000"/>
  <w16cid:commentId w16cid:paraId="34F4183D" w16cid:durableId="5ED3AF78"/>
  <w16cid:commentId w16cid:paraId="4109FC0A" w16cid:durableId="15DF1C4A"/>
  <w16cid:commentId w16cid:paraId="3804C0D0" w16cid:durableId="1C0B4548"/>
  <w16cid:commentId w16cid:paraId="0653C03E" w16cid:durableId="0653C03E"/>
  <w16cid:commentId w16cid:paraId="1035BA1C" w16cid:durableId="6E931F6C"/>
  <w16cid:commentId w16cid:paraId="592A41D1" w16cid:durableId="592A41D1"/>
  <w16cid:commentId w16cid:paraId="3D06AA43" w16cid:durableId="3D06AA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7B453" w14:textId="77777777" w:rsidR="00F543B1" w:rsidRDefault="00F543B1">
      <w:pPr>
        <w:spacing w:after="0" w:line="240" w:lineRule="auto"/>
      </w:pPr>
      <w:r>
        <w:separator/>
      </w:r>
    </w:p>
  </w:endnote>
  <w:endnote w:type="continuationSeparator" w:id="0">
    <w:p w14:paraId="0012FB35" w14:textId="77777777" w:rsidR="00F543B1" w:rsidRDefault="00F54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charset w:val="00"/>
    <w:family w:val="roman"/>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auto"/>
    <w:pitch w:val="variable"/>
  </w:font>
  <w:font w:name="Liberation Sans">
    <w:altName w:val="Arial"/>
    <w:charset w:val="01"/>
    <w:family w:val="swiss"/>
    <w:pitch w:val="variable"/>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8202" w14:textId="77777777" w:rsidR="0045262E" w:rsidRDefault="004526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58E6" w14:textId="77777777" w:rsidR="0045262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1AFD" w14:textId="77777777" w:rsidR="0045262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A417D" w14:textId="77777777" w:rsidR="00F543B1" w:rsidRDefault="00F543B1">
      <w:pPr>
        <w:spacing w:after="0" w:line="240" w:lineRule="auto"/>
      </w:pPr>
      <w:r>
        <w:separator/>
      </w:r>
    </w:p>
  </w:footnote>
  <w:footnote w:type="continuationSeparator" w:id="0">
    <w:p w14:paraId="1345A78F" w14:textId="77777777" w:rsidR="00F543B1" w:rsidRDefault="00F543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13A0"/>
    <w:multiLevelType w:val="multilevel"/>
    <w:tmpl w:val="DEB207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01D51A5"/>
    <w:multiLevelType w:val="multilevel"/>
    <w:tmpl w:val="C93C7D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51611920">
    <w:abstractNumId w:val="0"/>
  </w:num>
  <w:num w:numId="2" w16cid:durableId="16467436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2E"/>
    <w:rsid w:val="001D376D"/>
    <w:rsid w:val="0045262E"/>
    <w:rsid w:val="00512E63"/>
    <w:rsid w:val="007F36E2"/>
    <w:rsid w:val="00BE031C"/>
    <w:rsid w:val="00CD567C"/>
    <w:rsid w:val="00F020D5"/>
    <w:rsid w:val="00F543B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8A088"/>
  <w15:docId w15:val="{FF66C8FA-4E4D-4459-B570-47E37E381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18" Type="http://schemas.openxmlformats.org/officeDocument/2006/relationships/hyperlink" Target="https://doi.org/10.1016/j.celrep.2023.112930"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www.synapse.org/" TargetMode="External"/><Relationship Id="rId7" Type="http://schemas.openxmlformats.org/officeDocument/2006/relationships/hyperlink" Target="mailto:mo.liu@gzhmu.edu.cn" TargetMode="External"/><Relationship Id="rId12" Type="http://schemas.openxmlformats.org/officeDocument/2006/relationships/hyperlink" Target="https://share.google/aimode/iNBDfopq5IisBu9TY" TargetMode="External"/><Relationship Id="rId17" Type="http://schemas.openxmlformats.org/officeDocument/2006/relationships/hyperlink" Target="https://bmcbioinformatics.biomedcentral.com/articles/10.1186/s12859-020-03772-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ncer.sanger.ac.uk/signatures/id/" TargetMode="External"/><Relationship Id="rId20" Type="http://schemas.openxmlformats.org/officeDocument/2006/relationships/hyperlink" Target="https://genomebiology.biomedcentral.com/articles/10.1186/s13059-018-1509-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2211124722002996"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cancer.sanger.ac.uk/cosmic/census?tier=1" TargetMode="Externa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hgdownload.cse.ucsc.edu/goldenPath/hg19/encodeDCC/wgEncodeUwRepliSeq/"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cc.icgc.org/releases/current/Projects/"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32</Pages>
  <Words>9995</Words>
  <Characters>56975</Characters>
  <Application>Microsoft Office Word</Application>
  <DocSecurity>0</DocSecurity>
  <Lines>474</Lines>
  <Paragraphs>133</Paragraphs>
  <ScaleCrop>false</ScaleCrop>
  <Company/>
  <LinksUpToDate>false</LinksUpToDate>
  <CharactersWithSpaces>66837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4</cp:revision>
  <cp:lastPrinted>2025-06-06T09:23:00Z</cp:lastPrinted>
  <dcterms:created xsi:type="dcterms:W3CDTF">2026-05-06T12:24:00Z</dcterms:created>
  <dcterms:modified xsi:type="dcterms:W3CDTF">2026-05-06T12:37:00Z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