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 unified 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 Qi Zheng</w:t>
      </w:r>
      <w:r>
        <w:rPr>
          <w:rFonts w:hint="eastAsia"/>
        </w:rPr>
        <w:t xml:space="preserve">1, </w:t>
      </w:r>
      <w:r>
        <w:rPr/>
        <w:t>Runtian Yao</w:t>
      </w:r>
      <w:r>
        <w:rPr>
          <w:rFonts w:hint="eastAsia"/>
        </w:rPr>
        <w:t>2</w:t>
      </w:r>
      <w:r>
        <w:rPr/>
        <w:t xml:space="preserve">, </w:t>
      </w:r>
      <w:r>
        <w:rPr>
          <w:rFonts w:hint="eastAsia"/>
        </w:rPr>
        <w:t xml:space="preserve">Ying Yang1, Runxi Shen3, </w:t>
      </w:r>
      <w:r>
        <w:rPr/>
        <w:t>Steven G. Rozen4</w:t>
      </w:r>
      <w:r>
        <w:rPr>
          <w:rFonts w:hint="eastAsia"/>
        </w:rPr>
        <w:t>#</w:t>
      </w:r>
    </w:p>
    <w:p>
      <w:pPr>
        <w:pStyle w:val="authorsandaff"/>
        <w:rPr/>
      </w:pPr>
      <w:r>
        <w:rPr/>
        <w:t xml:space="preserve">1 Sino-French Hoffmann Institute, School of Basic Medical Sciences, </w:t>
      </w:r>
      <w:r>
        <w:rPr>
          <w:rFonts w:eastAsia="宋体" w:hint="eastAsia"/>
        </w:rPr>
        <w:t xml:space="preserve">The First Affiliated Hospital, Guangzhou </w:t>
      </w:r>
      <w:r>
        <w:rPr/>
        <w:t>Medical University, Guangzhou, Guangdong 511436, China</w:t>
      </w:r>
    </w:p>
    <w:p>
      <w:pPr>
        <w:pStyle w:val="authorsandaff"/>
        <w:rPr/>
      </w:pPr>
      <w:r>
        <w:rPr>
          <w:rFonts w:hint="eastAsia"/>
        </w:rPr>
        <w:t xml:space="preserve">2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steverozen@pm.me</w:t>
      </w:r>
    </w:p>
    <w:p>
      <w:pPr>
        <w:pStyle w:val="Normal"/>
        <w:rPr/>
      </w:pPr>
      <w:r>
        <w:rPr/>
      </w:r>
      <w:r>
        <w:br w:type="page"/>
      </w:r>
    </w:p>
    <w:p>
      <w:pPr>
        <w:pStyle w:val="Heading1"/>
        <w:spacing w:before="0" w:after="120"/>
        <w:rPr/>
      </w:pPr>
      <w:r>
        <w:rPr>
          <w:rFonts w:hint="eastAsia"/>
        </w:rPr>
        <w:t>Summary</w:t>
      </w:r>
    </w:p>
    <w:p>
      <w:pPr>
        <w:pStyle w:val="Heading1"/>
        <w:spacing w:before="0" w:after="120"/>
        <w:rPr>
          <w:b w:val="false"/>
          <w:bCs w:val="false"/>
        </w:rPr>
      </w:pPr>
      <w:r>
        <w:rPr>
          <w:rFonts w:hint="eastAsia"/>
          <w:b w:val="false"/>
          <w:bCs w:val="false"/>
        </w:rPr>
        <w:t>We present a unified repertoire of indel mutational signatures in 6,975 tumors across 32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vcf files.</w:t>
      </w:r>
    </w:p>
    <w:p>
      <w:pPr>
        <w:pStyle w:val="Heading1"/>
        <w:spacing w:before="0" w:after="120"/>
        <w:rPr/>
      </w:pPr>
      <w:r>
        <w:rPr>
          <w:rFonts w:hint="eastAsia"/>
        </w:rPr>
        <w:t>150</w:t>
      </w:r>
      <w:r>
        <w:br w:type="page"/>
      </w:r>
    </w:p>
    <w:p>
      <w:pPr>
        <w:pStyle w:val="Heading1"/>
        <w:spacing w:before="0" w:after="120"/>
        <w:rPr/>
      </w:pPr>
      <w:r>
        <w:rPr>
          <w:rFonts w:hint="eastAsia"/>
        </w:rPr>
        <w:t>Old Long Abstract</w:t>
      </w:r>
    </w:p>
    <w:p>
      <w:pPr>
        <w:pStyle w:val="normalfirst"/>
        <w:rPr/>
      </w:pPr>
      <w:r>
        <w:rPr/>
        <w:t xml:space="preserve">Mutational signatures can be viewed as latent factors that can reconstruct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476 types of indels. We show here that both these classifications provide better discrimination between spectra and signatures than the older classification into 83 types of indel. We analyzed somatic indels in 6,975 whole genomes from 32 cancer types to create comprehensive collections of indel signatures. We identified signatures in all three classification schemes (476, 89, and 83 types of indels) using a method based on hierarchical Dirichlet processes and a method based on non-negative matrix factorization, with consistent results across the two methods. We identified 44 89-type mutational signatures and, independently, their corresponding 476-type signatures. Of these, to our knowledge, similar 89-type signatures were previously described for 18. Lossless translation between signatures in the 83-type and the two new classification schemes is impossible. However, we leveraged tumor mutational spectra dominated by individual signatures to exhaustively elucidate these correspondences. We found that the new classification schemes are in most cases superior, in that they detect differences between spectra and signatures that the 83-type classification does not. </w:t>
      </w:r>
      <w:r>
        <w:rPr>
          <w:rFonts w:hint="eastAsia"/>
        </w:rPr>
        <w:t>We release software for generating and plotting spectra in the new classifications. An accompanying web site enables exploration of signatures and their cross-classification relationships and provides a service to construct spectra from vcf files.</w:t>
      </w:r>
    </w:p>
    <w:p>
      <w:pPr>
        <w:pStyle w:val="normalfirst"/>
        <w:rPr/>
      </w:pPr>
      <w:r>
        <w:rPr/>
      </w:r>
    </w:p>
    <w:p>
      <w:pPr>
        <w:pStyle w:val="normalfirst"/>
        <w:rPr/>
      </w:pPr>
      <w:r>
        <w:rPr/>
        <w:t>(Currently 249 words)</w:t>
      </w:r>
    </w:p>
    <w:p>
      <w:pPr>
        <w:pStyle w:val="normalfirst"/>
        <w:rPr/>
      </w:pPr>
      <w:r>
        <w:rPr/>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t>(Chen et al. 2024)</w:t>
      </w:r>
      <w:bookmarkEnd w:id="7"/>
      <w:r>
        <w:rPr>
          <w:rFonts w:hint="eastAsia"/>
        </w:rPr>
        <w:t>.</w:t>
      </w:r>
    </w:p>
    <w:p>
      <w:pPr>
        <w:pStyle w:val="Normal"/>
        <w:rPr/>
      </w:pPr>
      <w:r>
        <w:rP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Davies et al. 2017; Koh et al. 2025)</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2bTJlJjriYWb"/>
      <w:r>
        <w:rPr/>
        <w:t>(Koh et al. 2025)</w:t>
      </w:r>
      <w:bookmarkEnd w:id="10"/>
      <w:r>
        <w:rPr/>
        <w:t xml:space="preserve"> proposed two classification schemes, one with 89 types of indel and one with 476 types (Figure 1). </w:t>
      </w:r>
    </w:p>
    <w:p>
      <w:pPr>
        <w:pStyle w:val="Normal"/>
        <w:rPr/>
      </w:pPr>
      <w:r>
        <w:rPr/>
        <w:t xml:space="preserve">The older, 83-type scheme primarily categorizes indels based on the number of bases inserted or deleted, and for single-base insertions and deletions the identity of the deleted or inserted base (conventionally shown as pyrimidines, C or T) </w:t>
      </w:r>
      <w:bookmarkStart w:id="11" w:name="ZOTERO_BREF_DLfsir5mroQA"/>
      <w:r>
        <w:rPr/>
        <w:t>(Rozen 2026)</w:t>
      </w:r>
      <w:bookmarkEnd w:id="11"/>
      <w:r>
        <w:rP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One of the new classification schemes is based on 476 types of indel and one is based on 89 types, which mainly consolidates similar mutation types in the 476-type classification into coarser-grained mutation types </w:t>
      </w:r>
      <w:bookmarkStart w:id="12" w:name="ZOTERO_BREF_6zFIi2vPZWZ4"/>
      <w:r>
        <w:rPr/>
        <w:t>(Koh et al. 2025)</w:t>
      </w:r>
      <w:bookmarkEnd w:id="12"/>
      <w:r>
        <w:rPr/>
        <w:t xml:space="preserve"> </w:t>
      </w:r>
      <w:r>
        <w:rPr>
          <w:shd w:fill="00FFFF" w:val="clear"/>
        </w:rPr>
        <w:t xml:space="preserve">(Figure 1, </w:t>
      </w:r>
      <w:r>
        <w:rPr>
          <w:shd w:fill="00FFFF" w:val="clear"/>
        </w:rPr>
        <w:t>Table S1 &lt;rosetta_stone&gt;</w:t>
      </w:r>
      <w:r>
        <w:rPr>
          <w:shd w:fill="00FFFF" w:val="clear"/>
        </w:rPr>
        <w:t xml:space="preserve"> )</w:t>
      </w:r>
      <w:r>
        <w:rPr>
          <w:color w:val="000000"/>
        </w:rPr>
        <w:t>.</w:t>
      </w:r>
      <w:r>
        <w:rP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pPr>
        <w:pStyle w:val="Normal"/>
        <w:rPr/>
      </w:pPr>
      <w:r>
        <w:rPr/>
        <w:t xml:space="preserve">For example, the 83-type classification distinguishes deletions of single Ts only by the number of T’s at the site of the deletion: 1, 2, 3, 4, 5, or &gt;= 6 Ts </w:t>
      </w:r>
      <w:r>
        <w:rPr>
          <w:shd w:fill="00FFFF" w:val="clear"/>
        </w:rPr>
        <w:t>(Figure 1A)</w:t>
      </w:r>
      <w:r>
        <w:rPr/>
        <w:t xml:space="preserve">.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ATA→AA or ATTA&gt;ATA are distinguished from deletions of CTA→CA or CTTA→CTA, but the deletions CTA→CA and CTTTTA→CTTTA have the same classification. The </w:t>
      </w:r>
      <w:r>
        <w:rPr>
          <w:shd w:fill="FFFF00" w:val="clear"/>
        </w:rPr>
        <w:t xml:space="preserve">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ATA→AA, CTA→CA, and GTA→GA. The classifications of indels of 2 or more bases are less intuitive. </w:t>
      </w:r>
      <w:commentRangeStart w:id="0"/>
      <w:r>
        <w:rPr>
          <w:shd w:fill="FFFF00" w:val="clear"/>
        </w:rPr>
        <w:t xml:space="preserve">Table </w:t>
      </w:r>
      <w:r>
        <w:rPr>
          <w:shd w:fill="FFFF00" w:val="clear"/>
        </w:rPr>
        <w:t xml:space="preserve">S1 </w:t>
      </w:r>
      <w:r>
        <w:rPr>
          <w:shd w:fill="FFFF00" w:val="clear"/>
        </w:rPr>
        <w:t>&lt;rosetta stone&gt;</w:t>
      </w:r>
      <w:r>
        <w:rPr>
          <w:shd w:fill="FFFF00" w:val="clear"/>
        </w:rPr>
      </w:r>
      <w:commentRangeEnd w:id="0"/>
      <w:r>
        <w:commentReference w:id="0"/>
      </w:r>
      <w:r>
        <w:rPr>
          <w:shd w:fill="FFFF00" w:val="clear"/>
        </w:rPr>
        <w:t xml:space="preserve"> provides a mapping from the 476-type classification to the 89 and 83-type classifications, as well as multiple examples of each category of deletion. </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used tumor samples with spectra dominated by single signatures signatures to map signatures in the 83-type classification to signatures in the other two classifications. We further profiled signatures’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strands, providing insights into mutational processes underlying the signatures. We also tallied </w:t>
      </w:r>
      <w:r>
        <w:rPr>
          <w:shd w:fill="FFFF00" w:val="clear"/>
        </w:rPr>
        <w:t xml:space="preserve">their associations to SBSs and to sex within </w:t>
      </w:r>
      <w:r>
        <w:rPr>
          <w:shd w:fill="FFFF00" w:val="clear"/>
        </w:rPr>
        <w:t>individual</w:t>
      </w:r>
      <w:r>
        <w:rPr>
          <w:shd w:fill="FFFF00" w:val="clear"/>
        </w:rPr>
        <w:t xml:space="preserve"> cancer type</w:t>
      </w:r>
      <w:r>
        <w:rPr>
          <w:shd w:fill="FFFF00" w:val="clear"/>
        </w:rPr>
        <w:t>s</w:t>
      </w:r>
      <w:r>
        <w:rPr>
          <w:shd w:fill="FFFF00" w:val="clear"/>
        </w:rPr>
        <w:t xml:space="preserve">. </w:t>
      </w:r>
      <w:r>
        <w:rPr>
          <w:shd w:fill="FFFF00" w:val="clear"/>
        </w:rPr>
        <w:t>Finally, i</w:t>
      </w:r>
      <w:r>
        <w:rPr>
          <w:shd w:fill="FFFF00" w:val="clear"/>
        </w:rPr>
        <w:t xml:space="preserve">n addition to the supplementary information provided here, we also provide a web site to facilitate exploration of these signatures </w:t>
      </w:r>
      <w:r>
        <w:rPr>
          <w:shd w:fill="00FFFF" w:val="clear"/>
        </w:rPr>
        <w:t>(need reference to the URL)</w:t>
      </w:r>
      <w:r>
        <w:rPr>
          <w:shd w:fill="FFFF00" w:val="clear"/>
        </w:rPr>
        <w:t>.</w:t>
      </w:r>
    </w:p>
    <w:p>
      <w:pPr>
        <w:pStyle w:val="Heading1"/>
        <w:rPr/>
      </w:pPr>
      <w:r>
        <w:rPr/>
        <w:t>Results</w:t>
      </w:r>
    </w:p>
    <w:p>
      <w:pPr>
        <w:pStyle w:val="Heading2"/>
        <w:rPr/>
      </w:pPr>
      <w:r>
        <w:rPr/>
        <w:t>Repertoire of indel signatures based on de novo signature discovery</w:t>
      </w:r>
    </w:p>
    <w:p>
      <w:pPr>
        <w:pStyle w:val="normalfirst"/>
        <w:rPr/>
      </w:pPr>
      <w:r>
        <w:rPr/>
        <w:t>We identified indel signatures in all three classifications from a total of 6,975 cancer genomes encompassing 32 cancer type</w:t>
      </w:r>
      <w:r>
        <w:rPr>
          <w:shd w:fill="auto" w:val="clear"/>
        </w:rPr>
        <w:t>s</w:t>
      </w:r>
      <w:r>
        <w:rPr>
          <w:shd w:fill="auto" w:val="clear"/>
        </w:rPr>
        <w:t xml:space="preserve"> </w:t>
      </w:r>
      <w:r>
        <w:rPr>
          <w:shd w:fill="auto" w:val="clear"/>
        </w:rPr>
        <w:t>us</w:t>
      </w:r>
      <w:r>
        <w:rPr/>
        <w:t xml:space="preserve">ing a method based on hierarchical Dirichlet processes  </w:t>
      </w:r>
      <w:bookmarkStart w:id="13" w:name="ZOTERO_BREF_sXKgi2ptdMXh"/>
      <w:r>
        <w:rPr/>
        <w:t>(Liu et al. 2023)</w:t>
      </w:r>
      <w:bookmarkEnd w:id="13"/>
      <w:r>
        <w:rPr/>
        <w:t xml:space="preserve">, and a method based on non-negative matrix factorization </w:t>
      </w:r>
      <w:bookmarkStart w:id="14" w:name="ZOTERO_BREF_Ax2rB3g50il2"/>
      <w:r>
        <w:rPr/>
        <w:t>(Islam et al. 2022)</w:t>
      </w:r>
      <w:bookmarkEnd w:id="14"/>
      <w:r>
        <w:rPr/>
        <w:t>.</w:t>
      </w:r>
      <w:commentRangeStart w:id="1"/>
      <w:r>
        <w:rPr/>
        <w:t xml:space="preserve"> The extracted signatures were broadly consistent between the two methods </w:t>
      </w:r>
      <w:r>
        <w:rPr>
          <w:shd w:fill="FFFF00" w:val="clear"/>
        </w:rPr>
        <w:t>(reference table 1, shiny app, our vignette)</w:t>
      </w:r>
      <w:r>
        <w:rPr>
          <w:shd w:fill="FFFF00" w:val="clear"/>
        </w:rPr>
      </w:r>
      <w:commentRangeEnd w:id="1"/>
      <w:r>
        <w:commentReference w:id="1"/>
      </w:r>
      <w:r>
        <w:rPr>
          <w:shd w:fill="FFFF00" w:val="clear"/>
        </w:rPr>
        <w:t xml:space="preserve">, </w:t>
      </w:r>
      <w:r>
        <w:rPr/>
        <w:t>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宋体" w:hint="eastAsia"/>
        </w:rPr>
        <w:t>y</w:t>
      </w:r>
      <w:r>
        <w:rPr/>
        <w:t xml:space="preserve"> were discovered. Further evidence of their robustness derives from the identification of tumor spectra dominated by a single signature. For </w:t>
      </w:r>
      <w:r>
        <w:rPr>
          <w:shd w:fill="FFFF00" w:val="clear"/>
        </w:rPr>
        <w:t>35</w:t>
      </w:r>
      <w:r>
        <w:rPr/>
        <w:t xml:space="preserve"> of the 44 signatures we identified tumor spectra with &gt; </w:t>
      </w:r>
      <w:r>
        <w:rPr>
          <w:shd w:fill="FFFF00" w:val="clear"/>
        </w:rPr>
        <w:t>0.95</w:t>
      </w:r>
      <w:r>
        <w:rPr/>
        <w:t xml:space="preserve"> cosine similarity, and 39 of the signatures had tumor spectra with &gt; 0.90 similarity (Table 1). Of the 44 signatures identified in the 89-type classification, similar signatures were previously described for 18 </w:t>
      </w:r>
      <w:bookmarkStart w:id="15" w:name="ZOTERO_BREF_DLtC4TQmbVUR"/>
      <w:r>
        <w:rPr/>
        <w:t>(Koh et al. 2025)</w:t>
      </w:r>
      <w:bookmarkEnd w:id="15"/>
      <w:r>
        <w:rPr/>
        <w:t xml:space="preserve">. </w:t>
      </w:r>
    </w:p>
    <w:p>
      <w:pPr>
        <w:pStyle w:val="normalfirst"/>
        <w:ind w:firstLine="720"/>
        <w:rPr/>
      </w:pPr>
      <w:r>
        <w:rP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6" w:name="ZOTERO_BREF_RenPiKIXIJyQ"/>
      <w:r>
        <w:rPr/>
        <w:t>(Jin et al. 2024b)</w:t>
      </w:r>
      <w:bookmarkEnd w:id="16"/>
      <w:r>
        <w:rPr/>
        <w:t xml:space="preserve"> </w:t>
      </w:r>
      <w:r>
        <w:rPr/>
        <w:t>(Table 1)</w:t>
      </w:r>
      <w:r>
        <w:rPr/>
        <w:t>.</w:t>
      </w:r>
    </w:p>
    <w:p>
      <w:pPr>
        <w:pStyle w:val="normalfirst"/>
        <w:ind w:firstLine="720"/>
        <w:rPr/>
      </w:pPr>
      <w:r>
        <w:rPr/>
        <w:t xml:space="preserve">Because lossless translation between signatures in the 83-type and the two new classification schemes is impossible </w:t>
      </w:r>
      <w:r>
        <w:rPr>
          <w:shd w:fill="00FFFF" w:val="clear"/>
        </w:rPr>
        <w:t>(Table S1 &lt;rosetta stone&gt;)</w:t>
      </w:r>
      <w:r>
        <w:rPr>
          <w:shd w:fill="00FFFF" w:val="clear"/>
        </w:rPr>
        <w:t>,</w:t>
      </w:r>
      <w:r>
        <w:rPr/>
        <w:t xml:space="preserve"> we used tumor mutational spectra dominated by individual signatures to systematically elucidate correspondences between signatures in these classifiation schemes. </w:t>
      </w:r>
      <w:r>
        <w:rPr>
          <w:shd w:fill="00FFFF" w:val="clear"/>
        </w:rPr>
        <w:t>Table 1</w:t>
      </w:r>
      <w:r>
        <w:rPr/>
        <w:t xml:space="preserve"> shows the co</w:t>
      </w:r>
      <w:r>
        <w:rPr/>
        <w:t>rrespondencess</w:t>
      </w:r>
      <w:r>
        <w:rPr/>
        <w:t xml:space="preserve">, with details and discussion in </w:t>
      </w:r>
      <w:r>
        <w:rPr>
          <w:shd w:fill="FFFF00" w:val="clear"/>
        </w:rPr>
        <w:t>&lt;cite vignette and shiny app&gt;</w:t>
      </w:r>
    </w:p>
    <w:p>
      <w:pPr>
        <w:pStyle w:val="normalfirst"/>
        <w:ind w:firstLine="720"/>
        <w:rPr/>
      </w:pPr>
      <w:r>
        <w:rPr/>
        <w:t>In several cases, the 89 and 476 type systems were able to distinguish signatures that the 83-type system merged</w:t>
      </w:r>
      <w:r>
        <w:rPr>
          <w:shd w:fill="FFFF00" w:val="clear"/>
        </w:rPr>
        <w:t xml:space="preserve">. </w:t>
      </w:r>
      <w:r>
        <w:rPr>
          <w:shd w:fill="FFFF00" w:val="clear"/>
        </w:rPr>
        <w:t xml:space="preserve">These are clearest and least surprising for deletions of single T bases in the context of tracts of poly-T &gt;= 5 in length and which across the spectra we analyzed are the most numerous among the groupings shown in plots of 89-type spectra, and the the monotonic increase in the numbers of these deletions with increasing length of the poly-T tract is also clear in a 476-type plot of all indels analyzed. </w:t>
      </w:r>
    </w:p>
    <w:p>
      <w:pPr>
        <w:pStyle w:val="normalfirst"/>
        <w:ind w:hanging="0" w:start="0"/>
        <w:rPr>
          <w:highlight w:val="none"/>
          <w:shd w:fill="FF0000" w:val="clear"/>
        </w:rPr>
      </w:pPr>
      <w:r>
        <w:rPr>
          <w:shd w:fill="FF0000" w:val="clear"/>
        </w:rPr>
        <w:t>1?</w:t>
      </w:r>
    </w:p>
    <w:p>
      <w:pPr>
        <w:pStyle w:val="normalfirst"/>
        <w:ind w:hanging="0" w:start="0"/>
        <w:rPr>
          <w:highlight w:val="none"/>
          <w:shd w:fill="FF0000" w:val="clear"/>
        </w:rPr>
      </w:pPr>
      <w:r>
        <w:rPr>
          <w:shd w:fill="FF0000" w:val="clear"/>
        </w:rPr>
        <w:t>2?</w:t>
      </w:r>
    </w:p>
    <w:p>
      <w:pPr>
        <w:pStyle w:val="normalfirst"/>
        <w:ind w:firstLine="720"/>
        <w:rPr>
          <w:shd w:fill="FFFF00" w:val="clear"/>
        </w:rPr>
      </w:pPr>
      <w:r>
        <w:rPr>
          <w:shd w:fill="FFFF00" w:val="clear"/>
        </w:rPr>
      </w:r>
    </w:p>
    <w:p>
      <w:pPr>
        <w:pStyle w:val="normalfirst"/>
        <w:ind w:firstLine="720"/>
        <w:rPr>
          <w:shd w:fill="FFFF00" w:val="clear"/>
        </w:rPr>
      </w:pPr>
      <w:r>
        <w:rPr>
          <w:shd w:fill="FFFF00" w:val="clear"/>
        </w:rPr>
        <w:t>This is a primary component of the advantages of the two new type systems. In many cases the differences between the signatures in the 89 and 476</w:t>
      </w:r>
    </w:p>
    <w:p>
      <w:pPr>
        <w:pStyle w:val="normalfirst"/>
        <w:ind w:firstLine="720"/>
        <w:rPr/>
      </w:pPr>
      <w:r>
        <w:rPr>
          <w:rFonts w:eastAsia="宋体" w:hint="eastAsia"/>
        </w:rPr>
        <w:t>C</w:t>
      </w:r>
      <w:r>
        <w:rPr>
          <w:rFonts w:eastAsia="宋体" w:hint="eastAsia"/>
        </w:rPr>
        <w:t xml:space="preserve">onversely, there were two cases in which the 83-type and 476 type systems clearly differentiated signatures that were almost identical the 89-type system. One case consisted of InsDel13 and C with are nearly identical in the 89-type system because it combines deletion of single Ts in stretches of 1, 2, 3, or 4 Ts. However the 83 and 476 type systems show that InsDelC has deletions of 1 T from ATA (ATA→AA), while InsDel13 </w:t>
      </w:r>
      <w:r>
        <w:rPr>
          <w:rFonts w:eastAsia="宋体" w:hint="eastAsia"/>
        </w:rPr>
        <w:t>h</w:t>
      </w:r>
      <w:r>
        <w:rPr>
          <w:rFonts w:eastAsia="宋体" w:hint="eastAsia"/>
        </w:rPr>
        <w:t>as deletions of T from ATTA (ATTA→ATA, Sup Figure S1A</w:t>
      </w:r>
      <w:r>
        <w:rPr/>
        <w:t>).</w:t>
      </w:r>
      <w:r>
        <w:rPr>
          <w:rFonts w:eastAsia="宋体" w:hint="eastAsia"/>
          <w:highlight w:val="yellow"/>
        </w:rPr>
        <w:t xml:space="preserve"> </w:t>
      </w:r>
    </w:p>
    <w:p>
      <w:pPr>
        <w:pStyle w:val="normalfirst"/>
        <w:ind w:firstLine="720"/>
        <w:rPr/>
      </w:pPr>
      <w:r>
        <w:rPr>
          <w:rFonts w:eastAsia="宋体" w:hint="eastAsia"/>
          <w:shd w:fill="auto" w:val="clear"/>
        </w:rPr>
        <w:t xml:space="preserve">The </w:t>
      </w:r>
      <w:r>
        <w:rPr>
          <w:rFonts w:eastAsia="宋体" w:hint="eastAsia"/>
          <w:shd w:fill="auto" w:val="clear"/>
        </w:rPr>
        <w:t xml:space="preserve">other </w:t>
      </w:r>
      <w:r>
        <w:rPr>
          <w:rFonts w:eastAsia="宋体" w:hint="eastAsia"/>
          <w:shd w:fill="auto" w:val="clear"/>
        </w:rPr>
        <w:t>case consisted of I</w:t>
      </w:r>
      <w:r>
        <w:rPr>
          <w:rFonts w:eastAsia="宋体" w:hint="eastAsia"/>
        </w:rPr>
        <w:t xml:space="preserve">nsDel11 and InsDel16. InsDel11 has insertions of one C next to an isolated C (C with non-Cs on each side, e.g. ACG→ACCG) and insertion of a one T next to an isolated T (e.g. GTG→GTTG), while InsDel16, has insertion of one C between non-Cs (e.g. AT→ ACT), and insertion of one T between non-Ts (e.g. AG→ATG </w:t>
      </w:r>
      <w:commentRangeStart w:id="2"/>
      <w:r>
        <w:rPr>
          <w:rFonts w:eastAsia="宋体" w:hint="eastAsia"/>
        </w:rPr>
        <w:t>Sup Figure S1B</w:t>
      </w:r>
      <w:r>
        <w:rPr/>
        <w:t xml:space="preserve">). </w:t>
      </w:r>
      <w:r>
        <w:rPr/>
      </w:r>
      <w:commentRangeEnd w:id="2"/>
      <w:r>
        <w:commentReference w:id="2"/>
      </w:r>
      <w:r>
        <w:rPr/>
        <w:t xml:space="preserve"> </w:t>
      </w:r>
      <w:r>
        <w:rPr/>
        <w:t xml:space="preserve">Again, </w:t>
      </w:r>
      <w:r>
        <w:rPr>
          <w:rFonts w:eastAsia="宋体" w:hint="eastAsia"/>
          <w:shd w:fill="auto" w:val="clear"/>
        </w:rPr>
        <w:t>the 89-type sytem does not capture these differences, while the 83 and 476-type systems do.</w:t>
      </w:r>
    </w:p>
    <w:p>
      <w:pPr>
        <w:pStyle w:val="normalfirst"/>
        <w:rPr>
          <w:b/>
          <w:bCs/>
          <w:i/>
          <w:iCs/>
        </w:rPr>
      </w:pPr>
      <w:r>
        <w:rPr>
          <w:b/>
          <w:bCs/>
          <w:i/>
          <w:iCs/>
        </w:rPr>
        <w:t>Signature assignments</w:t>
      </w:r>
    </w:p>
    <w:p>
      <w:pPr>
        <w:pStyle w:val="normalfirst"/>
        <w:rPr>
          <w:b/>
          <w:bCs/>
          <w:i/>
          <w:iCs/>
        </w:rPr>
      </w:pPr>
      <w:r>
        <w:rPr>
          <w:b/>
          <w:bCs/>
          <w:i/>
          <w:iCs/>
        </w:rPr>
      </w:r>
    </w:p>
    <w:p>
      <w:pPr>
        <w:pStyle w:val="normalfirst"/>
        <w:rPr>
          <w:b/>
          <w:bCs/>
          <w:i/>
          <w:iCs/>
        </w:rPr>
      </w:pPr>
      <w:r>
        <w:rPr>
          <w:b/>
          <w:bCs/>
          <w:i/>
          <w:iCs/>
        </w:rPr>
        <w:t>New insights</w:t>
      </w:r>
    </w:p>
    <w:p>
      <w:pPr>
        <w:pStyle w:val="normalfirst"/>
        <w:rPr>
          <w:b/>
          <w:bCs/>
          <w:i/>
          <w:iCs/>
        </w:rPr>
      </w:pPr>
      <w:r>
        <w:rPr>
          <w:b/>
          <w:bCs/>
          <w:i/>
          <w:iCs/>
        </w:rPr>
        <w:t xml:space="preserve">AA </w:t>
      </w:r>
    </w:p>
    <w:p>
      <w:pPr>
        <w:pStyle w:val="normalfirst"/>
        <w:rPr/>
      </w:pPr>
      <w:r>
        <w:rPr/>
        <w:t xml:space="preserve">One example of </w:t>
      </w:r>
      <w:r>
        <w:rPr/>
        <w:t xml:space="preserve">the </w:t>
      </w:r>
      <w:r>
        <w:rPr/>
        <w:t xml:space="preserve">benefits of the new classification schemes is that it reveals that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w:t>
      </w:r>
      <w:r>
        <w:rPr>
          <w:shd w:fill="00FFFF" w:val="clear"/>
        </w:rPr>
        <w:t>&lt;</w:t>
      </w:r>
      <w:r>
        <w:rPr>
          <w:shd w:fill="00FFFF" w:val="clear"/>
        </w:rPr>
        <w:t>cite chinese liver cancer paper&gt;</w:t>
      </w:r>
      <w:r>
        <w:rPr>
          <w:shd w:fill="00FFFF" w:val="clear"/>
        </w:rPr>
        <w:t>.</w:t>
      </w:r>
    </w:p>
    <w:p>
      <w:pPr>
        <w:pStyle w:val="normalfirst"/>
        <w:rPr>
          <w:b/>
          <w:bCs/>
          <w:i/>
          <w:iCs/>
        </w:rPr>
      </w:pPr>
      <w:r>
        <w:rPr>
          <w:b/>
          <w:bCs/>
          <w:i/>
          <w:iCs/>
        </w:rPr>
        <w:t>InsDel17  vs InsDel8</w:t>
      </w:r>
    </w:p>
    <w:p>
      <w:pPr>
        <w:pStyle w:val="normalfirst"/>
        <w:rPr>
          <w:b/>
          <w:bCs/>
          <w:i/>
          <w:iCs/>
        </w:rPr>
      </w:pPr>
      <w:r>
        <w:rPr>
          <w:b/>
          <w:bCs/>
          <w:i/>
          <w:iCs/>
        </w:rPr>
        <w:t xml:space="preserve">A_beta looks like apobec in (already known) / a alpha not correlated  A beta is TCA → TA and TCT → TT, SBS2 TCA →  TTA, TCT → TTT SBS13 is TCA → TGA, TCT -&gt;TGT </w:t>
      </w:r>
      <w:hyperlink r:id="rId3">
        <w:r>
          <w:rPr>
            <w:rStyle w:val="Hyperlink"/>
            <w:b/>
            <w:bCs/>
            <w:i/>
            <w:iCs/>
          </w:rPr>
          <w:t>https://www.sciencedirect.com/science/article/pii/S2211124722002996</w:t>
        </w:r>
      </w:hyperlink>
    </w:p>
    <w:p>
      <w:pPr>
        <w:pStyle w:val="normalfirst"/>
        <w:rPr>
          <w:b/>
          <w:bCs/>
          <w:i/>
          <w:iCs/>
        </w:rPr>
      </w:pPr>
      <w:r>
        <w:rPr>
          <w:b/>
          <w:bCs/>
          <w:i/>
          <w:iCs/>
        </w:rPr>
        <w:t>Koh already cited the paper above; did the paper look at the context -- NO</w:t>
      </w:r>
    </w:p>
    <w:p>
      <w:pPr>
        <w:pStyle w:val="normalfirst"/>
        <w:rPr>
          <w:b/>
          <w:bCs/>
          <w:i/>
          <w:iCs/>
        </w:rPr>
      </w:pPr>
      <w:r>
        <w:rPr>
          <w:b/>
          <w:bCs/>
          <w:i/>
          <w:iCs/>
        </w:rPr>
        <w:t xml:space="preserve">UV: </w:t>
      </w:r>
      <w:hyperlink r:id="rId4">
        <w:r>
          <w:rPr>
            <w:rStyle w:val="Hyperlink"/>
            <w:b/>
            <w:bCs/>
            <w:i/>
            <w:iCs/>
          </w:rPr>
          <w:t>https://share.google/aimode/iNBDfopq5IisBu9TY</w:t>
        </w:r>
      </w:hyperlink>
    </w:p>
    <w:p>
      <w:pPr>
        <w:pStyle w:val="normalfirst"/>
        <w:rPr>
          <w:b/>
          <w:bCs/>
          <w:i/>
          <w:iCs/>
        </w:rPr>
      </w:pPr>
      <w:r>
        <w:rPr>
          <w:b/>
          <w:bCs/>
          <w:i/>
          <w:iCs/>
        </w:rPr>
        <w:t>Sig H – 476 doesn’t really capture it</w:t>
      </w:r>
    </w:p>
    <w:p>
      <w:pPr>
        <w:pStyle w:val="normalfirst"/>
        <w:rPr>
          <w:b/>
          <w:bCs/>
          <w:i/>
          <w:iCs/>
        </w:rPr>
      </w:pPr>
      <w:r>
        <w:rPr>
          <w:b/>
          <w:bCs/>
          <w:i/>
          <w:iCs/>
        </w:rPr>
        <w:t>N_beta is the new ID2</w:t>
      </w:r>
    </w:p>
    <w:p>
      <w:pPr>
        <w:pStyle w:val="Heading2"/>
        <w:rPr/>
      </w:pPr>
      <w:r>
        <w:rPr/>
        <w:t>Signature activity</w:t>
      </w:r>
    </w:p>
    <w:p>
      <w:pPr>
        <w:pStyle w:val="Normal"/>
        <w:rPr>
          <w:rFonts w:eastAsia="宋体"/>
        </w:rPr>
      </w:pPr>
      <w:r>
        <w:rPr>
          <w:rFonts w:eastAsia="宋体"/>
        </w:rPr>
        <w:t>We assessed sig activity / maybe ack limitiations and site our paper</w:t>
      </w:r>
    </w:p>
    <w:p>
      <w:pPr>
        <w:pStyle w:val="Normal"/>
        <w:rPr>
          <w:rFonts w:eastAsia="宋体"/>
        </w:rPr>
      </w:pPr>
      <w:r>
        <w:rPr>
          <w:rFonts w:eastAsia="宋体"/>
        </w:rPr>
        <w:t>New sigs are rarer.</w:t>
      </w:r>
    </w:p>
    <w:p>
      <w:pPr>
        <w:pStyle w:val="Normal"/>
        <w:rPr>
          <w:rFonts w:eastAsia="宋体"/>
        </w:rPr>
      </w:pPr>
      <w:r>
        <w:rPr>
          <w:rFonts w:eastAsia="宋体"/>
        </w:rPr>
        <w:t>Few surprises beyond splitting, except 2</w:t>
      </w:r>
    </w:p>
    <w:p>
      <w:pPr>
        <w:pStyle w:val="Normal"/>
        <w:rPr>
          <w:rFonts w:eastAsia="宋体"/>
        </w:rPr>
      </w:pPr>
      <w:r>
        <w:rPr>
          <w:rFonts w:eastAsia="宋体"/>
        </w:rPr>
        <w:t>H stands is new / doesn’t show in the plot; what is the statistical test for outliers in proportions?</w:t>
      </w:r>
    </w:p>
    <w:p>
      <w:pPr>
        <w:pStyle w:val="Normal"/>
        <w:rPr/>
      </w:pPr>
      <w:r>
        <w:rPr/>
        <w:t xml:space="preserve"> </w:t>
      </w:r>
      <w:r>
        <w:rPr/>
        <w:t xml:space="preserve">(Figure </w:t>
      </w:r>
      <w:r>
        <w:rPr>
          <w:rFonts w:hint="eastAsia"/>
        </w:rPr>
        <w:t>4a</w:t>
      </w:r>
      <w:r>
        <w:rPr/>
        <w:t xml:space="preserve">). The novel signatures identified by mSigHdp generally exhibited activity in fewer cancer types compared to established COSMIC signatures, with the exception of ID_A and ID_B, which were prevalent across a wide range of cancers (Figure </w:t>
      </w:r>
      <w:r>
        <w:rPr>
          <w:rFonts w:hint="eastAsia"/>
        </w:rPr>
        <w:t>4b</w:t>
      </w:r>
      <w:r>
        <w:rPr/>
        <w:t xml:space="preserve">). </w:t>
        <w:softHyphen/>
      </w:r>
      <w:r>
        <w:rPr>
          <w:shd w:fill="FFFF00" w:val="clear"/>
        </w:rPr>
        <w:t>&lt;</w:t>
      </w:r>
      <w:commentRangeStart w:id="3"/>
      <w:r>
        <w:rPr>
          <w:shd w:fill="FFFF00" w:val="clear"/>
        </w:rPr>
        <w:t>Maybe say B is clock-like</w:t>
      </w:r>
      <w:r>
        <w:rPr>
          <w:shd w:fill="FFFF00" w:val="clear"/>
        </w:rPr>
      </w:r>
      <w:commentRangeEnd w:id="3"/>
      <w:r>
        <w:commentReference w:id="3"/>
      </w:r>
      <w:r>
        <w:rPr>
          <w:shd w:fill="FFFF00" w:val="clear"/>
        </w:rPr>
        <w:t>&gt;</w:t>
      </w:r>
    </w:p>
    <w:p>
      <w:pPr>
        <w:pStyle w:val="Normal"/>
        <w:rPr/>
      </w:pPr>
      <w:commentRangeStart w:id="4"/>
      <w:r>
        <w:rPr/>
        <w:t>When an 83-type signature corresponded to multiple 89-type signatures, such as C_ID1 being represented by InsDel1a, InsDel1b, and InsDel1c, these subdivided signatures often exhibited cancer type specificity or reflected distinct mutational processes. For example, C_ID3, which is associated with tobacco smoking, was primarily identified in bladder, liver, and lung cancers. Among its subtypes, InsDel3a was most commonly observed in bladder cancer, whereas InsDel3b displayed a strong association with tobacco smoking and contributed predominantly to mutagenesis in liver and lung cancers.</w:t>
      </w:r>
      <w:r>
        <w:rPr>
          <w:rFonts w:eastAsia="宋体" w:hint="eastAsia"/>
        </w:rPr>
        <w:t xml:space="preserve"> </w:t>
      </w:r>
      <w:r>
        <w:rPr/>
        <w:t>C_ID1 was present across nearly all cancer types. InsDel1a showed the highest prevalence in most cancer types and exhibited moderate activity levels. In contrast, InsDel1b accounted for a greater number of mutations in colon cancer and was associated with POLE deficiency and impaired DNA mismatch repair (Table SX; as also suggested by Koh et al., 2025).</w:t>
      </w:r>
      <w:r>
        <w:rPr>
          <w:rFonts w:eastAsia="宋体" w:hint="eastAsia"/>
        </w:rPr>
        <w:t xml:space="preserve"> </w:t>
      </w:r>
      <w:r>
        <w:rPr/>
        <w:t>A similar pattern was observed for ID_N, which was found in all cancer types. Its sub-signature, InsDel_N</w:t>
      </w:r>
      <w:r>
        <w:rPr>
          <w:rFonts w:eastAsia="宋体"/>
        </w:rPr>
        <w:t>α</w:t>
      </w:r>
      <w:r>
        <w:rPr/>
        <w:t>, was specifically linked to POLE mutations and mismatch repair deficiency, whereas InsDel_N</w:t>
      </w:r>
      <w:r>
        <w:rPr>
          <w:rFonts w:eastAsia="宋体"/>
        </w:rPr>
        <w:t>β</w:t>
      </w:r>
      <w:r>
        <w:rPr/>
        <w:t xml:space="preserve"> was prevalent across a broad range of cancer types.</w:t>
      </w:r>
      <w:commentRangeEnd w:id="4"/>
      <w:r>
        <w:commentReference w:id="4"/>
      </w:r>
      <w:r>
        <w:rPr/>
      </w:r>
    </w:p>
    <w:p>
      <w:pPr>
        <w:pStyle w:val="Heading3"/>
        <w:numPr>
          <w:ilvl w:val="0"/>
          <w:numId w:val="0"/>
        </w:numPr>
        <w:ind w:hanging="0" w:start="0"/>
        <w:rPr>
          <w:i/>
          <w:iCs/>
          <w:sz w:val="24"/>
          <w:szCs w:val="24"/>
        </w:rPr>
      </w:pPr>
      <w:commentRangeStart w:id="5"/>
      <w:r>
        <w:rPr>
          <w:i/>
          <w:iCs/>
          <w:sz w:val="24"/>
          <w:szCs w:val="24"/>
        </w:rPr>
        <w:t>Associations between indel signatures and SBS signatures</w:t>
      </w:r>
      <w:commentRangeEnd w:id="5"/>
      <w:r>
        <w:commentReference w:id="5"/>
      </w:r>
      <w:r>
        <w:rPr>
          <w:i/>
          <w:iCs/>
          <w:sz w:val="24"/>
          <w:szCs w:val="24"/>
        </w:rPr>
      </w:r>
    </w:p>
    <w:p>
      <w:pPr>
        <w:pStyle w:val="Normal"/>
        <w:rPr/>
      </w:pPr>
      <w:r>
        <w:rPr>
          <w:shd w:fill="FFFF00" w:val="clear"/>
        </w:rPr>
        <w:t xml:space="preserve">&lt;Call out the ones indicated in the figure&gt; </w:t>
      </w: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w:t>
      </w:r>
      <w:r>
        <w:rPr>
          <w:shd w:fill="FFFF00" w:val="clear"/>
        </w:rPr>
        <w:t xml:space="preserve">&lt;We need to show this&gt; </w:t>
      </w:r>
      <w:r>
        <w:rPr/>
        <w:t>Correlation analysis showed that the 89-type signature classification can distinguish more nuanced mutational processes than the 83-type scheme. These signatures displayed unique patterns of association with SBS signatures, emphasizing the improved resolution and specificity the 89-type taxonomy provides. Using unsupervised hierarchical clustering (see Methods), we grouped mutational signatures into distinct biological modules.</w:t>
      </w:r>
    </w:p>
    <w:p>
      <w:pPr>
        <w:pStyle w:val="Normal"/>
        <w:rPr/>
      </w:pPr>
      <w:r>
        <w:rPr/>
        <w:t>For example, the APOBEC-related cluster, which includes SBS2 and SBS13, showed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pPr>
        <w:pStyle w:val="Normal"/>
        <w:rPr/>
      </w:pPr>
      <w:r>
        <w:rPr/>
        <w:t>Within the mismatch repair deficiency (MMR) cluster, we observed a strong network of correlations between SBS6, SBS26, SBS44, and a group of indel signatures, including C_ID2, InsDel2b, InsDel2c, InsDel7, InsDel_D, and InsDel_J (Figure 5,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pPr>
        <w:pStyle w:val="Normal"/>
        <w:rPr/>
      </w:pPr>
      <w:r>
        <w:rPr/>
        <w:t>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and SBS93, which are prominent in the “GI-ROS” cluster associated with gastrointestinal and reactive oxygen species-related mutagenesis. In contrast, InsDel1b was linked to POLE proofreading errors, while InsDel1c was more frequently associated with liver cancer signatures.</w:t>
      </w:r>
    </w:p>
    <w:p>
      <w:pPr>
        <w:pStyle w:val="Normal"/>
        <w:rPr/>
      </w:pPr>
      <w:r>
        <w:rPr/>
        <w:t>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5,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formation. Meanwhile, C_ID1 and InsDel1a exhibited stronger correlations with SBS1 and SBS18, supporting their association with mutagenesis driven by reactive oxygen species (Figure 5, “GI-ROS”).</w:t>
      </w:r>
    </w:p>
    <w:p>
      <w:pPr>
        <w:pStyle w:val="Heading2"/>
        <w:rPr/>
      </w:pPr>
      <w:r>
        <w:rPr>
          <w:rFonts w:hint="eastAsia"/>
        </w:rPr>
        <w:t>Topography of indel mutational signatures</w:t>
      </w:r>
    </w:p>
    <w:p>
      <w:pPr>
        <w:pStyle w:val="Normal"/>
        <w:rPr/>
      </w:pPr>
      <w:r>
        <w:rPr/>
        <w:t>Interesting – ID_K lagging strand enrichment related to POLE</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 xml:space="preserve">Transcription strand asymmetries were shown in 17 out of 33 83-type signatures (Figures </w:t>
      </w:r>
      <w:r>
        <w:rPr>
          <w:rFonts w:hint="eastAsia"/>
        </w:rPr>
        <w:t>6A and S4C</w:t>
      </w:r>
      <w:r>
        <w:rPr/>
        <w:t xml:space="preserve">, Table </w:t>
      </w:r>
      <w:r>
        <w:rPr>
          <w:rFonts w:hint="eastAsia"/>
        </w:rPr>
        <w:t>S4</w:t>
      </w:r>
      <w:r>
        <w:rPr/>
        <w:t>). Signatures attributed to exogenous mutational processes, such as C_ID3 (tobacco smoking exposure),</w:t>
      </w:r>
      <w:commentRangeStart w:id="6"/>
      <w:r>
        <w:rPr/>
        <w:t xml:space="preserve"> C_ID14 (</w:t>
      </w:r>
      <w:r>
        <w:rPr>
          <w:rFonts w:hint="eastAsia"/>
        </w:rPr>
        <w:t>SBS93 correlated</w:t>
      </w:r>
      <w:r>
        <w:rPr/>
        <w:t>)</w:t>
      </w:r>
      <w:r>
        <w:rPr/>
      </w:r>
      <w:commentRangeEnd w:id="6"/>
      <w:r>
        <w:commentReference w:id="6"/>
      </w:r>
      <w:r>
        <w:rPr/>
        <w:t xml:space="preserve">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fill="FFFF00" w:val="clear"/>
        </w:rPr>
        <w:t>ID_F</w:t>
      </w:r>
      <w:r>
        <w:rPr>
          <w:shd w:fill="FFFF00" w:val="clear"/>
        </w:rPr>
        <w:t xml:space="preserve"> (TOP1-mediated mutagenesis). Interestingly, 3 defective MMR signatures also showed tran</w:t>
      </w:r>
      <w:r>
        <w:rPr/>
        <w:t xml:space="preserve">scription strand asymmetries in different directions, with two of them (C_ID7 and </w:t>
      </w:r>
      <w:r>
        <w:rPr>
          <w:rFonts w:eastAsia="宋体" w:hint="eastAsia"/>
        </w:rPr>
        <w:t>ID_K</w:t>
      </w:r>
      <w:r>
        <w:rPr/>
        <w:t>) having enriched mutations on the transcribed strand, and one of them (</w:t>
      </w:r>
      <w:r>
        <w:rPr>
          <w:rFonts w:eastAsia="宋体" w:hint="eastAsia"/>
        </w:rPr>
        <w:t>ID_N</w:t>
      </w:r>
      <w:r>
        <w:rPr/>
        <w:t>) having enriched mutations mainly on the un-transcribed strand. Replication strand asymmetries were observed in 12 out of 33 83</w:t>
      </w:r>
      <w:r>
        <w:rPr>
          <w:rFonts w:hint="eastAsia"/>
        </w:rPr>
        <w:t>-</w:t>
      </w:r>
      <w:r>
        <w:rPr/>
        <w:t xml:space="preserve">type signatures (Figure </w:t>
      </w:r>
      <w:r>
        <w:rPr>
          <w:rFonts w:hint="eastAsia"/>
        </w:rPr>
        <w:t>6B &amp; S4B</w:t>
      </w:r>
      <w:r>
        <w:rPr/>
        <w:t xml:space="preserve">, Table </w:t>
      </w:r>
      <w:r>
        <w:rPr>
          <w:rFonts w:hint="eastAsia"/>
        </w:rPr>
        <w:t>S4</w:t>
      </w:r>
      <w:r>
        <w:rP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rPr/>
        <w:t xml:space="preserve"> on the leading strand (</w:t>
      </w:r>
      <w:r>
        <w:rPr>
          <w:rFonts w:eastAsia="宋体" w:hint="eastAsia"/>
        </w:rPr>
        <w:t>ID_K</w:t>
      </w:r>
      <w:r>
        <w:rPr/>
        <w:t xml:space="preserve">) or on the lagging strand (C_ID7 and </w:t>
      </w:r>
      <w:r>
        <w:rPr>
          <w:rFonts w:eastAsia="宋体" w:hint="eastAsia"/>
        </w:rPr>
        <w:t>ID_N</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6 signatures showed enrichment in genic regions</w:t>
      </w:r>
      <w:r>
        <w:rPr>
          <w:rFonts w:hint="eastAsia"/>
        </w:rPr>
        <w:t xml:space="preserve"> (</w:t>
      </w:r>
      <w:r>
        <w:rPr/>
        <w:t xml:space="preserve">Figure </w:t>
      </w:r>
      <w:r>
        <w:rPr>
          <w:rFonts w:hint="eastAsia"/>
        </w:rPr>
        <w:t>6C)</w:t>
      </w:r>
      <w:r>
        <w:rPr/>
        <w:t xml:space="preserve">. Among the 6 signatures, 5 of them were associated with defective endogenous mutational processes, including </w:t>
      </w:r>
      <w:r>
        <w:rPr>
          <w:rFonts w:hint="eastAsia"/>
        </w:rPr>
        <w:t>C_ID8</w:t>
      </w:r>
      <w:r>
        <w:rPr/>
        <w:t xml:space="preserve"> (Repair of DNA double strand breaks by NHEJ), C_ID17(TOP2A K743N mediated mutagenesis), </w:t>
      </w:r>
      <w:r>
        <w:rPr>
          <w:rFonts w:eastAsia="宋体" w:hint="eastAsia"/>
        </w:rPr>
        <w:t xml:space="preserve">ID_F </w:t>
      </w:r>
      <w:r>
        <w:rPr/>
        <w:t xml:space="preserve">(TOP1-mediated mutagenesis) </w:t>
      </w:r>
      <w:r>
        <w:rPr>
          <w:rFonts w:hint="eastAsia"/>
        </w:rPr>
        <w:t>a</w:t>
      </w:r>
      <w:r>
        <w:rPr/>
        <w:t xml:space="preserve">nd ID_L (defective MMR). Another 2 signatures with mutation enriched in genic regions were of unknown etiology (C_ID4, </w:t>
      </w:r>
      <w:r>
        <w:rPr>
          <w:rFonts w:eastAsia="宋体" w:hint="eastAsia"/>
        </w:rPr>
        <w:t>ID_</w:t>
      </w:r>
      <w:r>
        <w:rPr>
          <w:rFonts w:eastAsia="宋体"/>
        </w:rPr>
        <w:t>E</w:t>
      </w:r>
      <w:r>
        <w:rPr/>
        <w:t>).</w:t>
      </w:r>
    </w:p>
    <w:p>
      <w:pPr>
        <w:pStyle w:val="Normal"/>
        <w:rPr/>
      </w:pPr>
      <w:r>
        <w:rPr/>
        <w:t>The effect of DNA replication timing was also observed in many 83-type signatures</w:t>
      </w:r>
      <w:r>
        <w:rPr>
          <w:rFonts w:hint="eastAsia"/>
        </w:rPr>
        <w:t xml:space="preserve"> (Figure 6D &amp; S5</w:t>
      </w:r>
      <w:r>
        <w:rPr/>
        <w:t>, Table S-topo-2</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Several signatures showed cancer-specific enrichment in replication timing, including </w:t>
      </w:r>
      <w:r>
        <w:rPr>
          <w:rFonts w:hint="eastAsia"/>
        </w:rPr>
        <w:t>C_ID8</w:t>
      </w:r>
      <w:r>
        <w:rPr/>
        <w:t xml:space="preserve"> (Repair of DNA double strand breaks by NHEJ) and ID_F (TOP1-mediated mutagenesis) .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(Figure S-topo-ID89, Table S-topo-3). InsDel</w:t>
      </w:r>
      <w:r>
        <w:rPr>
          <w:rFonts w:eastAsia="宋体"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pPr>
      <w:r>
        <w:rPr/>
        <w:t>New indel type classifications reveal an accurate signature of RNase H2 deficiency</w:t>
      </w:r>
    </w:p>
    <w:p>
      <w:pPr>
        <w:pStyle w:val="Normal"/>
        <w:rPr/>
      </w:pPr>
      <w:r>
        <w:rPr/>
        <w:t xml:space="preserve">Cells with RNase H2 deficiency cannot efficiently remove ribonucleotides that </w:t>
      </w:r>
      <w:r>
        <w:rPr/>
        <w:t>had previously</w:t>
      </w:r>
      <w:r>
        <w:rPr/>
        <w:t xml:space="preserve"> been incorporated into genomic DNA, </w:t>
      </w:r>
      <w:r>
        <w:rPr/>
        <w:t>and this</w:t>
      </w:r>
      <w:r>
        <w:rPr/>
        <w:t xml:space="preserve"> sets the stage for topoisomerase-1 (TOP1) associated mutagenesis. This was previously thought to generate indel signature ID4 </w:t>
      </w:r>
      <w:bookmarkStart w:id="17" w:name="ZOTERO_BREF_xeDB1zkV4c3y"/>
      <w:r>
        <w:rPr/>
        <w:t>(Jin et al. 2024a; Reijns et al. 2022; Koh et al. 2025)</w:t>
      </w:r>
      <w:bookmarkEnd w:id="17"/>
      <w:r>
        <w:rPr/>
        <w:t xml:space="preserve">. However, we detected a new indel signature, InsDel_F, which better corresponds to RNase H2 deficiency experimental data than ID4 </w:t>
      </w:r>
      <w:r>
        <w:rPr>
          <w:shd w:fill="FFFF00" w:val="clear"/>
        </w:rPr>
        <w:t>(Figure or Supplementary Figure Fvs4)</w:t>
      </w:r>
      <w:r>
        <w:rPr/>
        <w:t xml:space="preserve">. The profile of deletions of </w:t>
      </w:r>
      <w:r>
        <w:rPr>
          <w:rFonts w:eastAsia="Liberation Serif" w:cs="Liberation Serif" w:ascii="Liberation Serif" w:hAnsi="Liberation Serif"/>
        </w:rPr>
        <w:t>≥</w:t>
      </w:r>
      <w:r>
        <w:rP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Theses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pPr>
        <w:pStyle w:val="Normal"/>
        <w:ind w:hanging="0"/>
        <w:rPr/>
      </w:pPr>
      <w:r>
        <w:rPr/>
      </w:r>
    </w:p>
    <w:p>
      <w:pPr>
        <w:pStyle w:val="Normal"/>
        <w:ind w:hanging="0"/>
        <w:rPr>
          <w:color w:val="000000"/>
          <w:shd w:fill="FFFF00" w:val="clear"/>
        </w:rPr>
      </w:pPr>
      <w:r>
        <w:rPr>
          <w:color w:val="000000"/>
          <w:shd w:fill="FFFF00" w:val="clear"/>
        </w:rPr>
        <w:t>NOVEL SIGNATURES MAYBE JUST A TABLE</w:t>
      </w:r>
    </w:p>
    <w:p>
      <w:pPr>
        <w:pStyle w:val="Heading2"/>
        <w:rPr>
          <w:rFonts w:eastAsia="宋体"/>
        </w:rPr>
      </w:pPr>
      <w:commentRangeStart w:id="7"/>
      <w:r>
        <w:rPr/>
        <w:t>Demographic Associations</w:t>
      </w:r>
      <w:r>
        <w:rPr>
          <w:rFonts w:eastAsia="宋体" w:hint="eastAsia"/>
        </w:rPr>
        <w:t xml:space="preserve"> with Gender and Age</w:t>
      </w:r>
      <w:commentRangeEnd w:id="7"/>
      <w:r>
        <w:commentReference w:id="7"/>
      </w:r>
      <w:r>
        <w:rPr>
          <w:rFonts w:eastAsia="宋体" w:hint="eastAsia"/>
        </w:rPr>
      </w:r>
    </w:p>
    <w:p>
      <w:pPr>
        <w:pStyle w:val="Normal"/>
        <w:rPr>
          <w:rFonts w:eastAsia="宋体"/>
        </w:rPr>
      </w:pPr>
      <w:r>
        <w:rPr>
          <w:rFonts w:eastAsia="宋体"/>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宋体" w:hint="eastAsia"/>
        </w:rPr>
        <w:t xml:space="preserve"> (Figure 8A)</w:t>
      </w:r>
      <w:r>
        <w:rPr>
          <w:rFonts w:eastAsia="宋体"/>
        </w:rPr>
        <w:t>.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宋体" w:hint="eastAsia"/>
        </w:rPr>
        <w:t xml:space="preserve"> and </w:t>
      </w:r>
      <w:r>
        <w:rPr>
          <w:rFonts w:eastAsia="宋体"/>
        </w:rPr>
        <w:t xml:space="preserve">their </w:t>
      </w:r>
      <w:r>
        <w:rPr>
          <w:rFonts w:eastAsia="宋体" w:hint="eastAsia"/>
        </w:rPr>
        <w:t xml:space="preserve">underlying </w:t>
      </w:r>
      <w:r>
        <w:rPr>
          <w:rFonts w:eastAsia="宋体"/>
        </w:rPr>
        <w:t xml:space="preserve">biological </w:t>
      </w:r>
      <w:r>
        <w:rPr>
          <w:rFonts w:eastAsia="宋体" w:hint="eastAsia"/>
        </w:rPr>
        <w:t>processes might</w:t>
      </w:r>
      <w:r>
        <w:rPr>
          <w:rFonts w:eastAsia="宋体"/>
        </w:rPr>
        <w:t xml:space="preserve"> be modulated by gender, shaping distinct patterns of cancer susceptibility and progression.</w:t>
      </w:r>
    </w:p>
    <w:p>
      <w:pPr>
        <w:pStyle w:val="Normal"/>
        <w:rPr>
          <w:rFonts w:eastAsia="宋体"/>
        </w:rPr>
      </w:pPr>
      <w:r>
        <w:rPr>
          <w:rFonts w:eastAsia="宋体"/>
        </w:rPr>
        <w:t>To characterize the "clock-like" behavior of these signatures, we examined correlations between signature activity and patient age at diagnosis using Spearman correlation analyses across the pan-cancer cohort</w:t>
      </w:r>
      <w:r>
        <w:rPr>
          <w:rFonts w:eastAsia="宋体" w:hint="eastAsia"/>
        </w:rPr>
        <w:t xml:space="preserve"> (Figure 8B)</w:t>
      </w:r>
      <w:r>
        <w:rPr>
          <w:rFonts w:eastAsia="宋体"/>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宋体" w:hint="eastAsia"/>
        </w:rPr>
        <w:t xml:space="preserve"> </w:t>
      </w:r>
      <w:r>
        <w:rPr>
          <w:rFonts w:eastAsia="宋体" w:hint="eastAsia"/>
          <w:highlight w:val="yellow"/>
        </w:rPr>
        <w:t>(Table SX)</w:t>
      </w:r>
      <w:r>
        <w:rPr>
          <w:rFonts w:eastAsia="宋体"/>
        </w:rPr>
        <w:t>. However, these broad pan-cancer associations likely reflect weak or heterogeneous age dependencies spread across multiple tumor types, rather than strong, tissue-specific age effects.</w:t>
      </w:r>
    </w:p>
    <w:p>
      <w:pPr>
        <w:pStyle w:val="Normal"/>
        <w:rPr>
          <w:rFonts w:eastAsia="宋体"/>
        </w:rPr>
      </w:pPr>
      <w:r>
        <w:rPr>
          <w:rFonts w:eastAsia="宋体" w:hint="eastAsia"/>
        </w:rPr>
        <w:t>Taken together</w:t>
      </w:r>
      <w:r>
        <w:rPr>
          <w:rFonts w:eastAsia="宋体"/>
        </w:rPr>
        <w:t>, these analyses reveal a demographic landscape of mutational mechanisms, indicating that genomic instability is sculpted by both sex-specific biological influences and tissue-dependent aging processes.</w:t>
      </w:r>
    </w:p>
    <w:p>
      <w:pPr>
        <w:pStyle w:val="Normal"/>
        <w:rPr>
          <w:rFonts w:eastAsia="宋体"/>
        </w:rPr>
      </w:pPr>
      <w:r>
        <w:rPr>
          <w:rFonts w:eastAsia="宋体"/>
        </w:rPr>
      </w:r>
    </w:p>
    <w:p>
      <w:pPr>
        <w:pStyle w:val="Heading1"/>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w:t>
      </w:r>
      <w:r>
        <w:rPr>
          <w:rFonts w:eastAsia="宋体" w:hint="eastAsia"/>
        </w:rPr>
        <w:t>32</w:t>
      </w:r>
      <w:r>
        <w:rPr/>
        <w:t xml:space="preserve"> cancer types from the PCAWG and HMF cohorts. As the first study to apply </w:t>
      </w:r>
      <w:r>
        <w:rPr>
          <w:rFonts w:eastAsia="宋体" w:hint="eastAsia"/>
        </w:rPr>
        <w:t>all indel</w:t>
      </w:r>
      <w:r>
        <w:rPr/>
        <w:t xml:space="preserve"> taxonomies</w:t>
      </w:r>
      <w:r>
        <w:rPr>
          <w:rFonts w:eastAsia="宋体" w:hint="eastAsia"/>
        </w:rPr>
        <w:t xml:space="preserve">, </w:t>
      </w:r>
      <w:r>
        <w:rPr/>
        <w:t>the 83-type and 89-type</w:t>
      </w:r>
      <w:r>
        <w:rPr>
          <w:rFonts w:eastAsia="宋体" w:hint="eastAsia"/>
        </w:rPr>
        <w:t xml:space="preserve"> and 476-type,</w:t>
      </w:r>
      <w:r>
        <w:rPr/>
        <w:t xml:space="preserve"> to such a large dataset, we established a comprehensive catalog of 3</w:t>
      </w:r>
      <w:r>
        <w:rPr>
          <w:rFonts w:eastAsia="宋体" w:hint="eastAsia"/>
        </w:rPr>
        <w:t>4</w:t>
      </w:r>
      <w:r>
        <w:rPr/>
        <w:t xml:space="preserve"> 83-type and 4</w:t>
      </w:r>
      <w:r>
        <w:rPr>
          <w:rFonts w:eastAsia="宋体" w:hint="eastAsia"/>
        </w:rPr>
        <w:t>4</w:t>
      </w:r>
      <w:r>
        <w:rPr/>
        <w:t xml:space="preserve"> 89-type signatures, alongside a unified mapping system to facilitate cross-referencing of signatures between the two classifications. Notably, we discovered two novel indel signatures (ID_F and InsDel_F) associated with TOP1-TAM</w:t>
      </w:r>
      <w:r>
        <w:rPr>
          <w:rFonts w:eastAsia="宋体" w:hint="eastAsia"/>
        </w:rPr>
        <w:t xml:space="preserve"> by a de-novo extraction approach</w:t>
      </w:r>
      <w:r>
        <w:rPr/>
        <w:t>, and validated their biological relevance using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rPr/>
      </w:pPr>
      <w:r>
        <w:rPr/>
        <w:t>Materials and methods</w:t>
      </w:r>
    </w:p>
    <w:p>
      <w:pPr>
        <w:pStyle w:val="Heading2"/>
        <w:rPr/>
      </w:pPr>
      <w:r>
        <w:rPr/>
        <w:t>Data sources</w:t>
      </w:r>
    </w:p>
    <w:p>
      <w:pPr>
        <w:pStyle w:val="Normal"/>
        <w:ind w:firstLineChars="200"/>
        <w:rPr/>
      </w:pPr>
      <w:r>
        <w:rPr/>
        <w:t>Somatic indel calls from the ICGC/TCGA (International Cancer Genome Consortium/The Cancer Genome Atlas) Pan-Cancer Analysis of Whole Genomes Consortium and associated clinical characteristics were obtained from the ICGC data portal (</w:t>
      </w:r>
      <w:hyperlink r:id="rId5">
        <w:r>
          <w:rPr>
            <w:rStyle w:val="Hyperlink"/>
          </w:rPr>
          <w:t>https://dcc.icgc.org/releases/current/Projects/</w:t>
        </w:r>
      </w:hyperlink>
      <w:r>
        <w:rPr/>
        <w:t>, which has been retired. The data were downloaded on 9 May, 2024. Hartwig Medical Foundation</w:t>
      </w:r>
      <w:r>
        <w:rPr>
          <w:rFonts w:eastAsia="宋体" w:hint="eastAsia" w:eastAsiaTheme="minor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of the </w:t>
      </w:r>
      <w:r>
        <w:rPr>
          <w:rFonts w:eastAsia="宋体" w:hint="eastAsia" w:eastAsiaTheme="minorEastAsia"/>
        </w:rPr>
        <w:t>Hartwig</w:t>
      </w:r>
      <w:r>
        <w:rPr/>
        <w:t xml:space="preserve">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6">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rPr/>
      </w:pPr>
      <w:r>
        <w:rPr>
          <w:rFonts w:hint="eastAsia"/>
        </w:rPr>
        <w:t xml:space="preserve">De novo </w:t>
      </w:r>
      <w:r>
        <w:rPr/>
        <w:t>Mutational signature extraction</w:t>
      </w:r>
    </w:p>
    <w:p>
      <w:pPr>
        <w:pStyle w:val="Normal"/>
        <w:ind w:firstLineChars="200"/>
        <w:rPr>
          <w:rFonts w:eastAsia="宋体" w:eastAsiaTheme="minorEastAsia"/>
        </w:rPr>
      </w:pPr>
      <w:r>
        <w:rPr>
          <w:rFonts w:eastAsia="宋体" w:eastAsiaTheme="minorEastAsia"/>
          <w:i/>
          <w:iCs/>
        </w:rPr>
        <w:t>De novo</w:t>
      </w:r>
      <w:r>
        <w:rPr>
          <w:rFonts w:eastAsia="宋体" w:eastAsiaTheme="minorEastAsia"/>
        </w:rPr>
        <w:t xml:space="preserve"> mutational signature extraction was performed using two complementary tools applied to the 83</w:t>
        <w:noBreakHyphen/>
        <w:t>type, 89</w:t>
        <w:noBreakHyphen/>
        <w:t>type, and 476</w:t>
        <w:noBreakHyphen/>
        <w:t>type mutational spectra.</w:t>
      </w:r>
    </w:p>
    <w:p>
      <w:pPr>
        <w:pStyle w:val="Normal"/>
        <w:ind w:firstLineChars="200"/>
        <w:rPr>
          <w:rFonts w:eastAsia="宋体" w:eastAsiaTheme="minorEastAsia"/>
        </w:rPr>
      </w:pPr>
      <w:r>
        <w:rPr>
          <w:rFonts w:eastAsia="宋体"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宋体" w:eastAsiaTheme="minorEastAsia"/>
        </w:rPr>
      </w:pPr>
      <w:r>
        <w:rPr>
          <w:rFonts w:eastAsia="宋体" w:eastAsiaTheme="minorEastAsia"/>
        </w:rPr>
        <w:t xml:space="preserve">In parallel, de novo mutational signatures were extracted using </w:t>
      </w:r>
      <w:r>
        <w:rPr>
          <w:rFonts w:eastAsia="宋体" w:hint="eastAsia" w:eastAsiaTheme="minorEastAsia"/>
        </w:rPr>
        <w:t xml:space="preserve">the Non-negative matrix factorization based approach (NMF), </w:t>
      </w:r>
      <w:r>
        <w:rPr>
          <w:rFonts w:eastAsia="宋体" w:eastAsiaTheme="minorEastAsia"/>
        </w:rPr>
        <w:t>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Solution” identified by the software, although several rare signatures were identified in alternative solutions (</w:t>
      </w:r>
      <w:r>
        <w:rPr>
          <w:rFonts w:eastAsia="宋体" w:eastAsiaTheme="minorEastAsia"/>
          <w:shd w:fill="FFFF00" w:val="clear"/>
        </w:rPr>
        <w:t>Table S</w:t>
      </w:r>
      <w:r>
        <w:rPr>
          <w:rFonts w:eastAsia="宋体" w:eastAsiaTheme="minorEastAsia"/>
        </w:rPr>
        <w:t>).</w:t>
      </w:r>
    </w:p>
    <w:p>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pPr>
        <w:pStyle w:val="Normal"/>
        <w:ind w:firstLineChars="200"/>
        <w:rPr>
          <w:rFonts w:eastAsia="宋体" w:eastAsiaTheme="minorEastAsia"/>
        </w:rPr>
      </w:pPr>
      <w:r>
        <w:rPr>
          <w:rFonts w:eastAsia="宋体" w:hint="eastAsia" w:eastAsiaTheme="minorEastAsia"/>
        </w:rPr>
        <w:t xml:space="preserve">For 83-type signatures, the signatures were matched to previously identified COSMIC signatures (v3.5, </w:t>
      </w:r>
      <w:hyperlink r:id="rId7">
        <w:r>
          <w:rPr>
            <w:rStyle w:val="Hyperlink"/>
            <w:rFonts w:eastAsia="宋体" w:eastAsiaTheme="minorEastAsia"/>
          </w:rPr>
          <w:t>https://cancer.sanger.ac.uk/signatures/id/</w:t>
        </w:r>
      </w:hyperlink>
      <w:r>
        <w:rPr>
          <w:rFonts w:eastAsia="宋体" w:hint="eastAsia" w:eastAsiaTheme="minorEastAsia"/>
        </w:rPr>
        <w:t>). For 89-type signatures, the signatures supported by both mSigHdp and SigProfilerExtractor were matched to the signatures reported in Koh et al. A detailed comparison can be found at Table 1.</w:t>
      </w:r>
    </w:p>
    <w:p>
      <w:pPr>
        <w:pStyle w:val="Normal"/>
        <w:ind w:firstLineChars="200"/>
        <w:rPr>
          <w:rFonts w:eastAsia="宋体" w:eastAsiaTheme="minorEastAsia"/>
        </w:rPr>
      </w:pPr>
      <w:r>
        <w:rPr/>
        <w:t xml:space="preserve">We compared all </w:t>
      </w:r>
      <w:r>
        <w:rPr>
          <w:i/>
          <w:iCs/>
        </w:rPr>
        <w:t>de novo</w:t>
      </w:r>
      <w:r>
        <w:rPr/>
        <w:t xml:space="preserve"> signatures </w:t>
      </w:r>
      <w:r>
        <w:rPr>
          <w:rFonts w:eastAsia="宋体" w:hint="eastAsia" w:eastAsiaTheme="minorEastAsia"/>
        </w:rPr>
        <w:t xml:space="preserve">supported by both mSigHdp and SigProfilerExtractor </w:t>
      </w:r>
      <w:r>
        <w:rPr/>
        <w:t xml:space="preserve">to </w:t>
      </w:r>
      <w:r>
        <w:rPr>
          <w:rFonts w:eastAsia="宋体" w:hint="eastAsia" w:eastAsiaTheme="minorEastAsia"/>
        </w:rPr>
        <w:t>the published</w:t>
      </w:r>
      <w:r>
        <w:rPr/>
        <w:t xml:space="preserve"> signatures and categorized them into three groups: (1) known signature: if</w:t>
      </w:r>
      <w:r>
        <w:rPr>
          <w:rFonts w:eastAsia="宋体" w:hint="eastAsia" w:eastAsiaTheme="minorEastAsia"/>
        </w:rPr>
        <w:t xml:space="preserve"> an extracted</w:t>
      </w:r>
      <w:r>
        <w:rPr/>
        <w:t xml:space="preserve"> signature has a cosine similarity of ≥ 0.</w:t>
      </w:r>
      <w:r>
        <w:rPr>
          <w:rFonts w:hint="eastAsia"/>
        </w:rPr>
        <w:t>85</w:t>
      </w:r>
      <w:r>
        <w:rPr/>
        <w:t xml:space="preserve"> with a COSMIC signature; (2) merged signatures: if </w:t>
      </w:r>
      <w:r>
        <w:rPr>
          <w:rFonts w:eastAsia="宋体" w:hint="eastAsia" w:eastAsiaTheme="minor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宋体" w:hint="eastAsia" w:eastAsiaTheme="minorEastAsia"/>
        </w:rPr>
        <w:t xml:space="preserve">extracted </w:t>
      </w:r>
      <w:r>
        <w:rPr/>
        <w:t xml:space="preserve">signatures do not fit into the known signatures or the merged signatures. </w:t>
      </w:r>
      <w:r>
        <w:rPr>
          <w:rFonts w:eastAsia="宋体" w:hint="eastAsia" w:eastAsiaTheme="minorEastAsia"/>
        </w:rPr>
        <w:t>We focused on (1) and (3) in this study.</w:t>
      </w:r>
    </w:p>
    <w:p>
      <w:pPr>
        <w:pStyle w:val="Heading2"/>
        <w:rPr>
          <w:rFonts w:eastAsia="宋体"/>
        </w:rPr>
      </w:pPr>
      <w:r>
        <w:rPr>
          <w:rFonts w:eastAsia="宋体" w:hint="eastAsia"/>
        </w:rPr>
        <w:t>Assignment of signature activity to each individual genome</w:t>
      </w:r>
    </w:p>
    <w:p>
      <w:pPr>
        <w:pStyle w:val="normalfirst"/>
        <w:ind w:firstLineChars="200"/>
        <w:rPr/>
      </w:pPr>
      <w:r>
        <w:rPr>
          <w:rFonts w:eastAsia="宋体"/>
          <w:shd w:fill="FFFF00" w:val="clear"/>
        </w:rPr>
        <w:t xml:space="preserve">&lt;MOVED FROM RESULTS&gt; </w:t>
      </w:r>
      <w:r>
        <w:rPr>
          <w:rFonts w:eastAsia="宋体"/>
        </w:rPr>
        <w:t>T</w:t>
      </w:r>
      <w:commentRangeStart w:id="8"/>
      <w:r>
        <w:rPr>
          <w:rFonts w:eastAsia="宋体"/>
        </w:rPr>
        <w: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thymine insertions or deletions in at least five homopolymeric T tracts account for ≥</w:t>
      </w:r>
      <w:r>
        <w:rPr>
          <w:rFonts w:eastAsia="宋体" w:hint="eastAsia"/>
        </w:rPr>
        <w:t>5</w:t>
      </w:r>
      <w:r>
        <w:rPr>
          <w:rFonts w:eastAsia="宋体"/>
        </w:rPr>
        <w:t>0% of the mutations</w:t>
      </w:r>
      <w:r>
        <w:rPr>
          <w:rFonts w:eastAsia="宋体" w:hint="eastAsia"/>
        </w:rPr>
        <w:t xml:space="preserve"> (Table SX)</w:t>
      </w:r>
      <w:r>
        <w:rPr>
          <w:rFonts w:eastAsia="宋体"/>
        </w:rPr>
        <w:t xml:space="preserve">,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rPr/>
        <w:t>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r>
        <w:rPr>
          <w:rFonts w:eastAsia="宋体"/>
        </w:rPr>
      </w:r>
      <w:commentRangeEnd w:id="8"/>
      <w:r>
        <w:commentReference w:id="8"/>
      </w:r>
      <w:r>
        <w:rPr>
          <w:rFonts w:eastAsia="宋体" w:hint="eastAsia"/>
        </w:rPr>
        <w:t>.</w:t>
      </w:r>
    </w:p>
    <w:p>
      <w:pPr>
        <w:pStyle w:val="normalfirst"/>
        <w:ind w:firstLineChars="200"/>
        <w:rPr/>
      </w:pPr>
      <w:commentRangeStart w:id="9"/>
      <w:r>
        <w:rPr/>
        <w:t>The 83-type indel spectra are frequently dominated by 1</w:t>
        <w:noBreakHyphen/>
        <w:t>bp T insertions and deletions at poly</w:t>
        <w:noBreakHyphen/>
        <w:t>T tracts (≥5 consecutive T’s), which can obscure the contribution of other indel types during signature assignment. To mitigate this interference, we implemented a three</w:t>
        <w:noBreakHyphen/>
        <w:t>step deconvolution strategy:</w:t>
      </w:r>
      <w:r>
        <w:rPr>
          <w:rFonts w:hint="eastAsia"/>
        </w:rPr>
        <w:t xml:space="preserve"> </w:t>
      </w:r>
      <w:r>
        <w:rPr/>
        <w:t>(1) We constructed “ablated” spectra and an “ablated” signature matrix by removing the two poly</w:t>
        <w:noBreakHyphen/>
        <w:t>T peaks from both the observed spectrum and the reference signatures, explicitly excluding C_ID1 and C_ID2. Signature fitting was then performed on these ablated inputs using the two</w:t>
        <w:noBreakHyphen/>
        <w:t>step pipeline</w:t>
      </w:r>
      <w:r>
        <w:rPr>
          <w:rFonts w:hint="eastAsia"/>
        </w:rPr>
        <w:t xml:space="preserve"> described above</w:t>
      </w:r>
      <w:r>
        <w:rPr/>
        <w:t>, yielding activity estimates for all non</w:t>
        <w:noBreakHyphen/>
        <w:t>poly</w:t>
        <w:noBreakHyphen/>
        <w:t>T components</w:t>
      </w:r>
      <w:r>
        <w:rPr>
          <w:rFonts w:hint="eastAsia"/>
        </w:rPr>
        <w:t xml:space="preserve">; </w:t>
      </w:r>
      <w:r>
        <w:rPr/>
        <w:t>(2) Using this ablated assignment and the full (unablated) signature matrix, we reconstructed a “predicted spectrum”</w:t>
      </w:r>
      <w:r>
        <w:rPr>
          <w:rFonts w:hint="eastAsia"/>
        </w:rPr>
        <w:t xml:space="preserve">; </w:t>
      </w:r>
      <w:r>
        <w:rPr/>
        <w:t>(3) The residual</w:t>
      </w:r>
      <w:r>
        <w:rPr>
          <w:rFonts w:hint="eastAsia"/>
        </w:rPr>
        <w:t xml:space="preserve">, </w:t>
      </w:r>
      <w:r>
        <w:rPr/>
        <w:t>defined as the difference between the original observed spectrum and the “predicted spectrum”</w:t>
      </w:r>
      <w:r>
        <w:rPr>
          <w:rFonts w:hint="eastAsia"/>
        </w:rPr>
        <w:t xml:space="preserve">, </w:t>
      </w:r>
      <w:r>
        <w:rPr/>
        <w:t>was truncated at zero (i.e., all negative values were set to 0) to enforce non</w:t>
        <w:noBreakHyphen/>
        <w:t>negative contributions. Only the two poly</w:t>
        <w:noBreakHyphen/>
        <w:t>T components of this corrected residual were retained and allocated to C_ID1 and C_ID2 in proportion to their relative signature weights.</w:t>
      </w:r>
      <w:commentRangeEnd w:id="9"/>
      <w:r>
        <w:commentReference w:id="9"/>
      </w:r>
      <w:r>
        <w:rPr/>
      </w:r>
    </w:p>
    <w:p>
      <w:pPr>
        <w:pStyle w:val="normalfirst"/>
        <w:rPr/>
      </w:pPr>
      <w:r>
        <w:rPr>
          <w:rFonts w:hint="eastAsia"/>
        </w:rPr>
        <w:t xml:space="preserve"> </w:t>
      </w:r>
    </w:p>
    <w:p>
      <w:pPr>
        <w:pStyle w:val="Heading2"/>
        <w:rPr>
          <w:rFonts w:eastAsia="宋体"/>
        </w:rPr>
      </w:pPr>
      <w:r>
        <w:rPr>
          <w:rFonts w:eastAsia="宋体"/>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8">
        <w:r>
          <w:rPr>
            <w:rStyle w:val="Hyperlink"/>
          </w:rPr>
          <w:t>https://bmcbioinformatics.biomedcentral.com/articles/10.1186/s12859-020-03772-3</w:t>
        </w:r>
      </w:hyperlink>
      <w:r>
        <w:rPr/>
        <w:t xml:space="preserve">). </w:t>
      </w:r>
    </w:p>
    <w:p>
      <w:pPr>
        <w:pStyle w:val="Heading2"/>
        <w:rPr>
          <w:rFonts w:eastAsia="宋体"/>
        </w:rPr>
      </w:pPr>
      <w:r>
        <w:rPr>
          <w:rFonts w:eastAsia="宋体"/>
        </w:rPr>
        <w:t>Annotating somatic indels based on transcribed versus un-transcribed strand</w:t>
      </w:r>
    </w:p>
    <w:p>
      <w:pPr>
        <w:pStyle w:val="Normal"/>
        <w:ind w:hanging="0"/>
        <w:rPr/>
      </w:pPr>
      <w:r>
        <w:rPr/>
        <w:t>We followed the method in (</w:t>
      </w:r>
      <w:hyperlink r:id="rId9">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宋体"/>
        </w:rPr>
      </w:pPr>
      <w:r>
        <w:rPr>
          <w:rFonts w:eastAsia="宋体"/>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10">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宋体"/>
        </w:rPr>
      </w:pPr>
      <w:r>
        <w:rPr>
          <w:rFonts w:eastAsia="宋体"/>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i/>
        </w:rPr>
      </w:pPr>
      <w:r>
        <w:rPr>
          <w:i/>
        </w:rPr>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rPr>
          <w:rFonts w:eastAsia="宋体"/>
        </w:rPr>
      </w:pPr>
      <w:r>
        <w:rPr>
          <w:rFonts w:eastAsia="宋体"/>
        </w:rPr>
        <w:t>Analyses of replication timing across cancer types</w:t>
      </w:r>
    </w:p>
    <w:p>
      <w:pPr>
        <w:pStyle w:val="Normal"/>
        <w:rPr/>
      </w:pPr>
      <w:r>
        <w:rPr/>
        <w:t>Replication timing data were obtained from (</w:t>
      </w:r>
      <w:hyperlink r:id="rId11">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shd w:fill="FFFF00" w:val="clear"/>
        </w:rPr>
      </w:pPr>
      <w:r>
        <w:rPr>
          <w:shd w:fill="FFFF00" w:val="clear"/>
        </w:rPr>
        <w:t>&lt;MISSING EQUATIONS HERE&gt;</w:t>
      </w:r>
    </w:p>
    <w:p>
      <w:pPr>
        <w:pStyle w:val="Normal"/>
        <w:rPr/>
      </w:pPr>
      <w:r>
        <w:rPr/>
      </w:r>
    </w:p>
    <w:p>
      <w:pPr>
        <w:pStyle w:val="Normal"/>
        <w:rPr/>
      </w:pPr>
      <w:r>
        <w:rPr/>
        <w:t>In the above formula, replication timing denotes a vector c(1,2,3 … 10).</w:t>
      </w:r>
    </w:p>
    <w:p>
      <w:pPr>
        <w:pStyle w:val="Normal"/>
        <w:rPr/>
      </w:pPr>
      <w:r>
        <w:rPr/>
        <w:t xml:space="preserve">The replication timing trend for </w:t>
      </w:r>
      <w:r>
        <w:rPr>
          <w:rFonts w:eastAsia="宋体" w:hint="eastAsia" w:eastAsiaTheme="minorEastAsia"/>
        </w:rPr>
        <w:t xml:space="preserve">an 83-type </w:t>
      </w:r>
      <w:r>
        <w:rPr/>
        <w:t xml:space="preserve">signature was determined for both real and simulated data. An </w:t>
      </w:r>
      <w:r>
        <w:rPr>
          <w:rFonts w:eastAsia="宋体" w:hint="eastAsia" w:eastAsiaTheme="minor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rFonts w:eastAsia="宋体"/>
        </w:rPr>
      </w:pPr>
      <w:r>
        <w:rPr/>
        <w:t xml:space="preserve">If the trends of a certain </w:t>
      </w:r>
      <w:r>
        <w:rPr>
          <w:rFonts w:eastAsia="宋体" w:hint="eastAsia" w:eastAsiaTheme="minorEastAsia"/>
        </w:rPr>
        <w:t>83-type</w:t>
      </w:r>
      <w:r>
        <w:rPr/>
        <w:t xml:space="preserve"> signature for the two dataset (real and simulated data) were different, the relative trend for real data comparing the simulated data was the final trend for the </w:t>
      </w:r>
      <w:r>
        <w:rPr>
          <w:rFonts w:eastAsia="宋体" w:hint="eastAsia" w:eastAsiaTheme="minorEastAsia"/>
        </w:rPr>
        <w:t>83-type</w:t>
      </w:r>
      <w:r>
        <w:rPr/>
        <w:t xml:space="preserve"> signature. Otherwise, if the trends of a certain </w:t>
      </w:r>
      <w:r>
        <w:rPr>
          <w:rFonts w:eastAsia="宋体" w:hint="eastAsia" w:eastAsiaTheme="minorEastAsia"/>
        </w:rPr>
        <w:t>83-type</w:t>
      </w:r>
      <w:r>
        <w:rPr/>
        <w:t xml:space="preserve"> signature for the two dataset were the same, a third multiple linear regression model was fitted. </w:t>
      </w:r>
    </w:p>
    <w:p>
      <w:pPr>
        <w:pStyle w:val="Normal"/>
        <w:rPr>
          <w:rFonts w:eastAsia="宋体"/>
        </w:rPr>
      </w:pPr>
      <w:r>
        <w:rPr>
          <w:rFonts w:eastAsia="宋体"/>
        </w:rPr>
      </w:r>
    </w:p>
    <w:p>
      <w:pPr>
        <w:pStyle w:val="Normal"/>
        <w:rPr>
          <w:rFonts w:eastAsia="宋体"/>
        </w:rPr>
      </w:pPr>
      <w:r>
        <w:rPr/>
        <w:t xml:space="preserve">Similarly, the final trend of an </w:t>
      </w:r>
      <w:r>
        <w:rPr>
          <w:rFonts w:eastAsia="宋体" w:hint="eastAsia" w:eastAsiaTheme="minorEastAsia"/>
        </w:rPr>
        <w:t>83-type</w:t>
      </w:r>
      <w:r>
        <w:rPr/>
        <w:t xml:space="preserve"> signature were determined by the significance of the coefficient of replication timing. If it is not significant, an </w:t>
      </w:r>
      <w:r>
        <w:rPr>
          <w:rFonts w:eastAsia="宋体" w:hint="eastAsia" w:eastAsiaTheme="minorEastAsia"/>
        </w:rPr>
        <w:t>83-type</w:t>
      </w:r>
      <w:r>
        <w:rPr/>
        <w:t xml:space="preserve"> signature was considered to be generally unaffected by replication timing. Otherwise, if the coefficient of replication timing &gt; 0, an </w:t>
      </w:r>
      <w:r>
        <w:rPr>
          <w:rFonts w:eastAsia="宋体" w:hint="eastAsia" w:eastAsiaTheme="minorEastAsia"/>
        </w:rPr>
        <w:t>83-type</w:t>
      </w:r>
      <w:r>
        <w:rPr/>
        <w:t xml:space="preserve"> signature was considered to be increasing from early to late replicating regions; if the coefficient of replication timing &lt; 0, an </w:t>
      </w:r>
      <w:r>
        <w:rPr>
          <w:rFonts w:eastAsia="宋体" w:hint="eastAsia" w:eastAsiaTheme="minorEastAsia"/>
        </w:rPr>
        <w:t>83-type</w:t>
      </w:r>
      <w:r>
        <w:rPr/>
        <w:t xml:space="preserve"> signature was considered to be decreasing from early to late replicating regions.</w:t>
      </w:r>
    </w:p>
    <w:p>
      <w:pPr>
        <w:pStyle w:val="Normal"/>
        <w:rPr>
          <w:rFonts w:eastAsia="宋体" w:eastAsiaTheme="minorEastAsia"/>
        </w:rPr>
      </w:pPr>
      <w:r>
        <w:rPr>
          <w:rFonts w:eastAsia="宋体"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pPr>
        <w:pStyle w:val="Normal"/>
        <w:rPr>
          <w:color w:val="000000"/>
        </w:rPr>
      </w:pPr>
      <w:r>
        <w:rPr/>
        <w:t>For PCAWG genomes, the MSI</w:t>
      </w:r>
      <w:r>
        <w:rPr>
          <w:rFonts w:eastAsia="宋体" w:hint="eastAsia" w:eastAsiaTheme="minor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宋体" w:hint="eastAsia" w:eastAsiaTheme="minor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rPr>
          <w:rFonts w:eastAsia="宋体"/>
        </w:rPr>
      </w:pPr>
      <w:r>
        <w:rPr>
          <w:rFonts w:eastAsia="宋体"/>
        </w:rPr>
        <w:t>Extended sequence context</w:t>
      </w:r>
      <w:r>
        <w:rPr>
          <w:rFonts w:eastAsia="宋体"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hint="eastAsia"/>
          <w:color w:val="000000"/>
        </w:rPr>
        <w:t xml:space="preserve">(Grant No. </w:t>
      </w:r>
      <w:r>
        <w:rPr>
          <w:color w:val="000000"/>
        </w:rPr>
        <w:t>2026A1515010445</w:t>
      </w:r>
      <w:r>
        <w:rPr>
          <w:rFonts w:hint="eastAsia"/>
          <w:color w:val="000000"/>
        </w:rPr>
        <w:t xml:space="preserve">), </w:t>
      </w:r>
      <w:r>
        <w:rPr>
          <w:color w:val="000000"/>
        </w:rPr>
        <w:t xml:space="preserve">International Science and Technology Innovation Cooperation between Governments for National Key R&amp;D Program Projects </w:t>
      </w:r>
      <w:r>
        <w:rPr>
          <w:rFonts w:hint="eastAsia"/>
          <w:color w:val="000000"/>
        </w:rPr>
        <w:t>(</w:t>
      </w:r>
      <w:r>
        <w:rPr>
          <w:color w:val="000000"/>
        </w:rPr>
        <w:t>2023YFE0107700</w:t>
      </w:r>
      <w:r>
        <w:rPr>
          <w:rFonts w:hint="eastAsia"/>
          <w:color w:val="000000"/>
        </w:rPr>
        <w:t>), Guangzhou Municipal Science</w:t>
      </w:r>
      <w:r>
        <w:rPr>
          <w:rFonts w:hint="eastAsia"/>
        </w:rPr>
        <w:t xml:space="preserve"> and Technology Bureau (</w:t>
      </w:r>
      <w:r>
        <w:rPr/>
        <w:t>2025A04J4304</w:t>
      </w:r>
      <w:r>
        <w:rPr>
          <w:rFonts w:hint="eastAsia"/>
        </w:rPr>
        <w:t xml:space="preserve">), </w:t>
      </w:r>
      <w:r>
        <w:rPr/>
        <w:t xml:space="preserve">Shenzhen Science and Technology Innovation Program </w:t>
      </w:r>
      <w:r>
        <w:rPr>
          <w:rFonts w:eastAsia="宋体" w:cs="宋体" w:hint="eastAsia" w:ascii="宋体" w:hAnsi="宋体"/>
        </w:rPr>
        <w:t>(</w:t>
      </w:r>
      <w:r>
        <w:rPr/>
        <w:t>JCYJ20250604174809012</w:t>
      </w:r>
      <w:r>
        <w:rPr>
          <w:rFonts w:eastAsia="宋体" w:hint="eastAsia"/>
        </w:rPr>
        <w:t>)</w:t>
      </w:r>
      <w:r>
        <w:rPr>
          <w:rFonts w:hint="eastAsia"/>
        </w:rPr>
        <w:t>.</w:t>
      </w:r>
      <w:r>
        <w:rPr>
          <w:rFonts w:hint="eastAsia"/>
          <w:color w:val="000000"/>
        </w:rPr>
        <w:t xml:space="preserve"> </w:t>
      </w:r>
    </w:p>
    <w:p>
      <w:pPr>
        <w:pStyle w:val="Heading1"/>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rFonts w:eastAsia="宋体" w:hint="eastAsia"/>
        </w:rPr>
        <w:t xml:space="preserve">M.L., X.M.W. and S.G.R. designed the website.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1"/>
        <w:rPr/>
      </w:pPr>
      <w:bookmarkStart w:id="18"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 ‘Deep Whole-Genome Analysis of 494 Hepatocellular Carcinomas’. </w:t>
      </w:r>
      <w:r>
        <w:rPr>
          <w:i/>
        </w:rPr>
        <w:t>Nature</w:t>
      </w:r>
      <w:r>
        <w:rPr/>
        <w:t>, ahead of print, March 21. https://doi.org/10.1038/s41586-024-07054-3.</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2025a. ‘A Redefined InDel Taxonomy Provides Insights into Mutational Signatures’. </w:t>
      </w:r>
      <w:r>
        <w:rPr>
          <w:i/>
        </w:rPr>
        <w:t>Nature Genetics</w:t>
      </w:r>
      <w:r>
        <w:rPr/>
        <w:t>, ahead of print, April 10. https://doi.org/10.1038/s41588-025-02152-y.</w:t>
      </w:r>
    </w:p>
    <w:p>
      <w:pPr>
        <w:pStyle w:val="Bibliography1"/>
        <w:rPr/>
      </w:pPr>
      <w:r>
        <w:rPr/>
        <w:t xml:space="preserve">Koh, Gene Ching Chiek, Arjun Scott Nanda, Giuseppe Rinaldi, et al. 2025b.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18"/>
    </w:p>
    <w:p>
      <w:pPr>
        <w:pStyle w:val="Normal"/>
        <w:spacing w:before="0" w:after="160"/>
        <w:rPr/>
      </w:pPr>
      <w:r>
        <w:rPr/>
      </w:r>
    </w:p>
    <w:sectPr>
      <w:footerReference w:type="even" r:id="rId12"/>
      <w:footerReference w:type="default" r:id="rId13"/>
      <w:footerReference w:type="first" r:id="rId14"/>
      <w:type w:val="nextPage"/>
      <w:pgSz w:w="12240" w:h="15840"/>
      <w:pgMar w:left="1440" w:right="1440" w:gutter="0" w:header="0" w:top="144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6-05-07T21:30:00Z" w:initials="ML">
    <w:p>
      <w:pPr>
        <w:overflowPunct w:val="false"/>
        <w:spacing w:before="0" w:after="0" w:lineRule="auto" w:line="240"/>
        <w:rPr/>
      </w:pPr>
      <w:r>
        <w:annotationRef/>
      </w:r>
      <w:r>
        <w:rPr>
          <w:rFonts w:cs="Noto Sans Arabic UI" w:eastAsia="宋体" w:ascii="Calibri" w:hAnsi="Calibri"/>
          <w:sz w:val="22"/>
          <w:szCs w:val="22"/>
        </w:rPr>
        <w:t>Table S1</w:t>
      </w:r>
    </w:p>
  </w:comment>
  <w:comment w:id="1" w:author="Mo Liu" w:date="2026-05-07T21:30:00Z" w:initials="ML">
    <w:p>
      <w:pPr>
        <w:overflowPunct w:val="false"/>
        <w:spacing w:before="0" w:after="0" w:lineRule="auto" w:line="240"/>
        <w:rPr/>
      </w:pPr>
      <w:r>
        <w:annotationRef/>
      </w:r>
      <w:r>
        <w:rPr>
          <w:rFonts w:cs="Noto Sans Arabic UI" w:eastAsia="宋体" w:ascii="Calibri" w:hAnsi="Calibri"/>
          <w:sz w:val="22"/>
          <w:szCs w:val="22"/>
        </w:rPr>
        <w:t>Table1, Tables S2-S7</w:t>
      </w:r>
    </w:p>
  </w:comment>
  <w:comment w:id="2" w:author="Mo Liu" w:date="2026-05-07T21:43:00Z" w:initials="ML">
    <w:p>
      <w:pPr>
        <w:overflowPunct w:val="false"/>
        <w:spacing w:before="0" w:after="0" w:lineRule="auto" w:line="240"/>
        <w:rPr/>
      </w:pPr>
      <w:r>
        <w:annotationRef/>
      </w:r>
      <w:r>
        <w:rPr>
          <w:rFonts w:cs="Noto Sans Arabic UI" w:eastAsia="宋体" w:ascii="Calibri" w:hAnsi="Calibri"/>
          <w:sz w:val="22"/>
          <w:szCs w:val="22"/>
        </w:rPr>
        <w:t>Mo stopped here for adding sup info</w:t>
      </w:r>
    </w:p>
  </w:comment>
  <w:comment w:id="3" w:author="Mo Liu" w:date="2026-05-06T20:27:00Z" w:initials="ML">
    <w:p>
      <w:pPr>
        <w:overflowPunct w:val="false"/>
        <w:spacing w:before="0" w:after="0" w:lineRule="auto" w:line="240"/>
        <w:rPr/>
      </w:pPr>
      <w:r>
        <w:annotationRef/>
      </w:r>
      <w:r>
        <w:rPr>
          <w:rFonts w:cs="Noto Sans Arabic UI" w:eastAsia="宋体" w:ascii="Calibri" w:hAnsi="Calibri"/>
          <w:sz w:val="22"/>
          <w:szCs w:val="22"/>
        </w:rPr>
        <w:t xml:space="preserve">We showed this in the last section of the paper. </w:t>
      </w:r>
    </w:p>
  </w:comment>
  <w:comment w:id="4" w:author="Mo Liu" w:date="2026-05-06T20:28:00Z" w:initials="ML">
    <w:p>
      <w:pPr>
        <w:overflowPunct w:val="false"/>
        <w:spacing w:before="0" w:after="0" w:lineRule="auto" w:line="240"/>
        <w:rPr/>
      </w:pPr>
      <w:r>
        <w:annotationRef/>
      </w:r>
      <w:r>
        <w:rPr>
          <w:rFonts w:cs="Noto Sans Arabic UI" w:eastAsia="宋体" w:ascii="Calibri" w:hAnsi="Calibri"/>
          <w:sz w:val="22"/>
          <w:szCs w:val="22"/>
        </w:rPr>
        <w:t>Mo wrote new paragraph</w:t>
      </w:r>
    </w:p>
  </w:comment>
  <w:comment w:id="5" w:author="Mo Liu" w:date="2026-05-06T20:28:00Z" w:initials="ML">
    <w:p>
      <w:pPr>
        <w:overflowPunct w:val="false"/>
        <w:spacing w:before="0" w:after="0" w:lineRule="auto" w:line="240"/>
        <w:rPr/>
      </w:pPr>
      <w:r>
        <w:annotationRef/>
      </w:r>
      <w:r>
        <w:rPr>
          <w:rFonts w:cs="Noto Sans Arabic UI" w:eastAsia="宋体" w:ascii="Calibri" w:hAnsi="Calibri"/>
          <w:sz w:val="22"/>
          <w:szCs w:val="22"/>
        </w:rPr>
        <w:t>Mo finished writing for this section</w:t>
      </w:r>
    </w:p>
  </w:comment>
  <w:comment w:id="6" w:author="Mo Liu" w:date="2026-04-03T21:55:00Z" w:initials="ML">
    <w:p>
      <w:pPr>
        <w:overflowPunct w:val="true"/>
        <w:spacing w:lineRule="auto" w:line="240" w:before="0" w:after="0"/>
        <w:rPr/>
      </w:pPr>
      <w:r>
        <w:annotationRef/>
      </w:r>
      <w:r>
        <w:rPr>
          <w:rFonts w:eastAsia="宋体" w:cs="Noto Sans Arabic UI" w:ascii="Calibri" w:hAnsi="Calibri"/>
          <w:sz w:val="22"/>
          <w:szCs w:val="22"/>
        </w:rPr>
        <w:t>Figure 5 shows C_ID14’s high correlation with SBS93, the TSB further supports its formation due to DNA adduct</w:t>
      </w:r>
    </w:p>
  </w:comment>
  <w:comment w:id="7" w:author="Mo Liu" w:date="2026-05-06T15:46:00Z" w:initials="ML">
    <w:p>
      <w:pPr>
        <w:overflowPunct w:val="false"/>
        <w:spacing w:before="0" w:after="0" w:lineRule="auto" w:line="240"/>
        <w:rPr/>
      </w:pPr>
      <w:r>
        <w:annotationRef/>
      </w:r>
      <w:r>
        <w:rPr>
          <w:rFonts w:cs="Noto Sans Arabic UI" w:eastAsia="宋体" w:ascii="Calibri" w:hAnsi="Calibri"/>
          <w:sz w:val="22"/>
          <w:szCs w:val="22"/>
        </w:rPr>
        <w:t>Mo finished writing for this section</w:t>
      </w:r>
    </w:p>
  </w:comment>
  <w:comment w:id="8" w:author="Mo Liu" w:date="2026-04-07T16:26:00Z" w:initials="ML">
    <w:p>
      <w:pPr>
        <w:overflowPunct w:val="false"/>
        <w:spacing w:before="0" w:after="0" w:lineRule="auto" w:line="240"/>
        <w:rPr/>
      </w:pPr>
      <w:r>
        <w:annotationRef/>
      </w:r>
      <w:r>
        <w:rPr>
          <w:rFonts w:eastAsia="宋体" w:cs="Noto Sans Arabic UI" w:ascii="Calibri" w:hAnsi="Calibri"/>
          <w:sz w:val="22"/>
          <w:szCs w:val="22"/>
        </w:rPr>
        <w:t>Mo edit</w:t>
      </w:r>
    </w:p>
  </w:comment>
  <w:comment w:id="9" w:author="Mo Liu" w:date="2026-04-07T16:27:00Z" w:initials="ML">
    <w:p>
      <w:pPr>
        <w:overflowPunct w:val="false"/>
        <w:spacing w:before="0" w:after="0" w:lineRule="auto" w:line="240"/>
        <w:rPr/>
      </w:pPr>
      <w:r>
        <w:annotationRef/>
      </w:r>
      <w:r>
        <w:rPr>
          <w:rFonts w:cs="Noto Sans Arabic UI" w:eastAsia="宋体" w:ascii="Calibri" w:hAnsi="Calibri"/>
          <w:sz w:val="22"/>
          <w:szCs w:val="22"/>
        </w:rPr>
        <w:t>To Steve: Please check if you edited this?</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宋体">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uto" w:line="240"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num w:numId="1">
    <w:abstractNumId w:val="1"/>
  </w:num>
  <w:num w:numId="2">
    <w:abstractNumId w:val="2"/>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customStyle="1">
    <w:name w:val="Comment Text Char"/>
    <w:basedOn w:val="DefaultParagraphFont"/>
    <w:link w:val="CommentText"/>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 w:customStyle="1">
    <w:name w:val="Bullets"/>
    <w:qFormat/>
    <w:rPr>
      <w:rFonts w:ascii="OpenSymbol" w:hAnsi="OpenSymbol" w:eastAsia="OpenSymbol" w:cs="OpenSymbol"/>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start"/>
    </w:pPr>
    <w:rPr>
      <w:rFonts w:eastAsia="DejaVu Sans" w:ascii="Calibri" w:hAnsi="Calibri"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spacing w:lineRule="auto" w:line="480"/>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start="57" w:end="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semiHidden/>
    <w:unhideWhenUsed/>
    <w:qFormat/>
    <w:rsid w:val="00d2057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www.sciencedirect.com/science/article/pii/S2211124722002996" TargetMode="External"/><Relationship Id="rId4" Type="http://schemas.openxmlformats.org/officeDocument/2006/relationships/hyperlink" Target="https://share.google/aimode/iNBDfopq5IisBu9TY" TargetMode="External"/><Relationship Id="rId5" Type="http://schemas.openxmlformats.org/officeDocument/2006/relationships/hyperlink" Target="https://dcc.icgc.org/releases/current/Projects/" TargetMode="External"/><Relationship Id="rId6" Type="http://schemas.openxmlformats.org/officeDocument/2006/relationships/hyperlink" Target="https://cancer.sanger.ac.uk/cosmic/census?tier=1" TargetMode="External"/><Relationship Id="rId7" Type="http://schemas.openxmlformats.org/officeDocument/2006/relationships/hyperlink" Target="https://cancer.sanger.ac.uk/signatures/id/" TargetMode="External"/><Relationship Id="rId8" Type="http://schemas.openxmlformats.org/officeDocument/2006/relationships/hyperlink" Target="https://bmcbioinformatics.biomedcentral.com/articles/10.1186/s12859-020-03772-3" TargetMode="External"/><Relationship Id="rId9" Type="http://schemas.openxmlformats.org/officeDocument/2006/relationships/hyperlink" Target="https://doi.org/10.1016/j.celrep.2023.112930" TargetMode="External"/><Relationship Id="rId10" Type="http://schemas.openxmlformats.org/officeDocument/2006/relationships/hyperlink" Target="https://hgdownload.cse.ucsc.edu/goldenPath/hg19/encodeDCC/wgEncodeUwRepliSeq/" TargetMode="External"/><Relationship Id="rId11" Type="http://schemas.openxmlformats.org/officeDocument/2006/relationships/hyperlink" Target="https://genomebiology.biomedcentral.com/articles/10.1186/s13059-018-1509-y" TargetMode="Externa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comments" Target="comments.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145</TotalTime>
  <Application>LibreOffice/26.2.2.2$Linux_X86_64 LibreOffice_project/620$Build-2</Application>
  <AppVersion>15.0000</AppVersion>
  <Pages>32</Pages>
  <Words>7525</Words>
  <Characters>45504</Characters>
  <CharactersWithSpaces>52897</CharactersWithSpaces>
  <Paragraphs>142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2026-05-07T13:43:00Z</dcterms:created>
  <dc:creator>Mo Liu</dc:creator>
  <dc:description/>
  <dc:language>en-US</dc:language>
  <cp:lastModifiedBy/>
  <cp:lastPrinted>2025-06-06T09:23:00Z</cp:lastPrinted>
  <dcterms:modified xsi:type="dcterms:W3CDTF">2026-05-07T19:58:05Z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zotero-version="8.0.4"&gt;&lt;session id="hrQZjRzN"/&gt;&lt;style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