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宋体" w:hint="eastAsia"/>
          <w:sz w:val="20"/>
          <w:szCs w:val="20"/>
        </w:rPr>
      </w:pPr>
      <w:r>
        <w:rPr>
          <w:rFonts w:eastAsia="宋体" w:hint="eastAsia"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宋体"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宋体"/>
          <w:b/>
          <w:bCs/>
        </w:rPr>
      </w:pPr>
      <w:r>
        <w:rPr>
          <w:rFonts w:eastAsia="宋体" w:hint="eastAsia"/>
          <w:b/>
          <w:bCs/>
        </w:rPr>
        <w:t>Graphical Abstract</w:t>
      </w:r>
    </w:p>
    <w:p>
      <w:pPr>
        <w:pStyle w:val="Normal"/>
        <w:spacing w:lineRule="auto" w:line="360" w:before="0" w:after="0"/>
        <w:ind w:hanging="0"/>
        <w:rPr>
          <w:rFonts w:eastAsia="宋体"/>
          <w:b/>
          <w:bCs/>
        </w:rPr>
      </w:pPr>
      <w:r>
        <w:rPr/>
        <w:drawing>
          <wp:inline distT="0" distB="0" distL="0" distR="0">
            <wp:extent cx="5938520" cy="6414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38520" cy="6414135"/>
                    </a:xfrm>
                    <a:prstGeom prst="rect">
                      <a:avLst/>
                    </a:prstGeom>
                    <a:noFill/>
                  </pic:spPr>
                </pic:pic>
              </a:graphicData>
            </a:graphic>
          </wp:inline>
        </w:drawing>
      </w:r>
    </w:p>
    <w:p>
      <w:pPr>
        <w:pStyle w:val="Normal"/>
        <w:spacing w:lineRule="auto" w:line="360" w:before="0" w:after="0"/>
        <w:ind w:hanging="0"/>
        <w:rPr>
          <w:rFonts w:eastAsia="宋体"/>
          <w:b/>
          <w:bCs/>
        </w:rPr>
      </w:pPr>
      <w:r>
        <w:rPr>
          <w:rFonts w:eastAsia="宋体"/>
          <w:b/>
          <w:bCs/>
        </w:rPr>
        <w:t>Highlights</w:t>
      </w:r>
    </w:p>
    <w:p>
      <w:pPr>
        <w:pStyle w:val="Normal"/>
        <w:numPr>
          <w:ilvl w:val="0"/>
          <w:numId w:val="3"/>
        </w:numPr>
        <w:spacing w:lineRule="auto" w:line="360" w:before="0" w:after="0"/>
        <w:rPr>
          <w:rFonts w:eastAsia="宋体"/>
        </w:rPr>
      </w:pPr>
      <w:r>
        <w:rPr>
          <w:rFonts w:eastAsia="宋体"/>
        </w:rPr>
        <w:t>Repertoire of indel signatures across 6,975 genomes in 3 indel classification schemes</w:t>
      </w:r>
    </w:p>
    <w:p>
      <w:pPr>
        <w:pStyle w:val="Normal"/>
        <w:numPr>
          <w:ilvl w:val="0"/>
          <w:numId w:val="3"/>
        </w:numPr>
        <w:spacing w:lineRule="auto" w:line="360" w:before="0" w:after="0"/>
        <w:rPr>
          <w:rFonts w:eastAsia="宋体"/>
        </w:rPr>
      </w:pPr>
      <w:r>
        <w:rPr>
          <w:rFonts w:eastAsia="宋体"/>
        </w:rPr>
        <w:t>Identified 26 novel 89-type and 1</w:t>
      </w:r>
      <w:r>
        <w:rPr>
          <w:rFonts w:eastAsia="宋体" w:hint="eastAsia"/>
        </w:rPr>
        <w:t>1</w:t>
      </w:r>
      <w:r>
        <w:rPr>
          <w:rFonts w:eastAsia="宋体"/>
        </w:rPr>
        <w:t xml:space="preserve"> novel 83-type classification indel signatures</w:t>
      </w:r>
    </w:p>
    <w:p>
      <w:pPr>
        <w:pStyle w:val="Normal"/>
        <w:numPr>
          <w:ilvl w:val="0"/>
          <w:numId w:val="3"/>
        </w:numPr>
        <w:spacing w:lineRule="auto" w:line="360" w:before="0" w:after="0"/>
        <w:rPr>
          <w:rFonts w:eastAsia="宋体"/>
        </w:rPr>
      </w:pPr>
      <w:r>
        <w:rPr>
          <w:rFonts w:eastAsia="宋体"/>
        </w:rPr>
        <w:t>Integrative topography across transcription, replication, and genic regions</w:t>
      </w:r>
    </w:p>
    <w:p>
      <w:pPr>
        <w:pStyle w:val="Normal"/>
        <w:numPr>
          <w:ilvl w:val="0"/>
          <w:numId w:val="3"/>
        </w:numPr>
        <w:spacing w:lineRule="auto" w:line="360" w:before="0" w:after="0"/>
        <w:rPr>
          <w:rFonts w:eastAsia="宋体"/>
        </w:rPr>
      </w:pPr>
      <w:r>
        <w:rPr>
          <w:rFonts w:eastAsia="宋体"/>
        </w:rPr>
        <w:t>Website and software for signature browsing and matrix generation from VCF files</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宋体"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fill="00FFFF" w:val="clear"/>
        </w:rPr>
        <w:t>(</w:t>
      </w:r>
      <w:r>
        <w:rPr>
          <w:rFonts w:eastAsia="宋体"/>
          <w:shd w:fill="00FFFF" w:val="clear"/>
        </w:rPr>
        <w:t>https://indelsigbrowser.shinyapps.io/main/</w:t>
      </w:r>
      <w:r>
        <w:rPr>
          <w:rFonts w:eastAsia="宋体"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宋体"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w:t>
      </w:r>
      <w:r>
        <w:rPr>
          <w:rFonts w:eastAsia="宋体" w:hint="eastAsia"/>
        </w:rPr>
        <w:t xml:space="preserve"> 35 </w:t>
      </w:r>
      <w:r>
        <w:rPr/>
        <w:t>of the 44 signatures, there were tumor spectra with cosine similarity &gt;</w:t>
      </w:r>
      <w:r>
        <w:rPr>
          <w:rFonts w:eastAsia="宋体"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w:t>
      </w:r>
      <w:r>
        <w:rPr/>
        <w:t xml:space="preserve">and 26 were not previously described to our knowlege </w:t>
      </w:r>
      <w:r>
        <w:rPr/>
        <w:t xml:space="preserve">(Table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shd w:fill="FF0000" w:val="clea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宋体"/>
          <w:shd w:fill="00FFFF" w:val="clear"/>
        </w:rPr>
        <w:t>https://indelsigbrowser.shinyapps.io/main</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highlight w:val="yellow"/>
        </w:rPr>
        <w:t>(Figure 4, Figure S1 / WE NEED TO RENUMBER ALL SUP FIGS</w:t>
      </w:r>
      <w:r>
        <w:rPr>
          <w:color w:val="000000"/>
          <w:highlight w:val="yellow"/>
          <w:shd w:fill="00FFFF" w:val="clear"/>
        </w:rPr>
        <w:t>)</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(Table S9; possibly remove some of the sheets from table S9)</w:t>
      </w:r>
      <w:r>
        <w:rPr/>
        <w:t>.</w:t>
      </w:r>
    </w:p>
    <w:p>
      <w:pPr>
        <w:pStyle w:val="normalfirst"/>
        <w:rPr/>
      </w:pPr>
      <w:r>
        <w:rPr>
          <w:rFonts w:eastAsia="宋体" w:hint="eastAsia"/>
          <w:b/>
          <w:bCs/>
          <w:i/>
          <w:iCs/>
        </w:rPr>
        <w:t>Two cases where the 89-type classification misses clear differences.</w:t>
      </w:r>
      <w:r>
        <w:rPr>
          <w:rFonts w:eastAsia="宋体" w:hint="eastAsia"/>
          <w:b/>
          <w:bCs/>
        </w:rPr>
        <w:t xml:space="preserve"> </w:t>
      </w:r>
      <w:r>
        <w:rPr>
          <w:rFonts w:eastAsia="宋体" w:hint="eastAsia"/>
        </w:rPr>
        <w:t>While the 89-type classification system on the whole better discriminates sign</w:t>
      </w:r>
      <w:r>
        <w:rPr>
          <w:rFonts w:eastAsia="宋体" w:hint="eastAsia"/>
        </w:rPr>
        <w:t>atures</w:t>
      </w:r>
      <w:r>
        <w:rPr>
          <w:rFonts w:eastAsia="宋体" w:hint="eastAsia"/>
        </w:rPr>
        <w:t xml:space="preserve">, </w:t>
      </w:r>
      <w:r>
        <w:rPr>
          <w:rFonts w:eastAsia="宋体" w:hint="eastAsia"/>
        </w:rPr>
        <w:t>in</w:t>
      </w:r>
      <w:r>
        <w:rPr>
          <w:rFonts w:eastAsia="宋体" w:hint="eastAsia"/>
        </w:rPr>
        <w:t xml:space="preserve"> two cases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w:t>
      </w:r>
      <w:r>
        <w:rPr>
          <w:rFonts w:eastAsia="Times New Roman" w:hint="eastAsia"/>
          <w:shd w:fill="00FFFF" w:val="clear"/>
        </w:rPr>
        <w:t xml:space="preserve"> </w:t>
      </w:r>
      <w:r>
        <w:rPr>
          <w:rFonts w:eastAsia="Times New Roman" w:hint="eastAsia"/>
          <w:shd w:fill="00FFFF" w:val="clear"/>
        </w:rPr>
        <w:t>Figure S2A</w:t>
      </w:r>
      <w:r>
        <w:rPr/>
        <w:t>.</w:t>
      </w:r>
      <w:r>
        <w:rPr>
          <w:rFonts w:eastAsia="宋体"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宋体" w:hint="eastAsia"/>
        </w:rPr>
        <w:t>ACCG) and insertion of a one T next to an isolated T (e.g. GTG</w:t>
      </w:r>
      <w:r>
        <w:rPr>
          <w:rFonts w:cs="DejaVu Sans" w:hint="eastAsia" w:ascii="DejaVu Sans" w:hAnsi="DejaVu Sans"/>
        </w:rPr>
        <w:t>→</w:t>
      </w:r>
      <w:r>
        <w:rPr>
          <w:rFonts w:eastAsia="宋体" w:hint="eastAsia"/>
        </w:rPr>
        <w:t>GTTG). InsDel16 has insertion of one C between non-Cs (e.g. AT</w:t>
      </w:r>
      <w:r>
        <w:rPr>
          <w:rFonts w:cs="DejaVu Sans" w:hint="eastAsia" w:ascii="DejaVu Sans" w:hAnsi="DejaVu Sans"/>
        </w:rPr>
        <w:t>→</w:t>
      </w:r>
      <w:r>
        <w:rPr>
          <w:rFonts w:eastAsia="宋体" w:hint="eastAsia"/>
        </w:rPr>
        <w:t>ACT), and insertion of one T between non-Ts (e.g. AG</w:t>
      </w:r>
      <w:r>
        <w:rPr>
          <w:rFonts w:cs="DejaVu Sans" w:hint="eastAsia" w:ascii="DejaVu Sans" w:hAnsi="DejaVu Sans"/>
        </w:rPr>
        <w:t>→</w:t>
      </w:r>
      <w:r>
        <w:rPr>
          <w:rFonts w:eastAsia="宋体" w:hint="eastAsia"/>
        </w:rPr>
        <w:t xml:space="preserve">ATG, </w:t>
      </w:r>
      <w:r>
        <w:rPr>
          <w:rFonts w:eastAsia="宋体" w:hint="eastAsia"/>
          <w:shd w:fill="00FFFF" w:val="clear"/>
        </w:rPr>
        <w:t>Figure</w:t>
      </w:r>
      <w:r>
        <w:rPr>
          <w:rFonts w:eastAsia="Times New Roman" w:hint="eastAsia"/>
          <w:shd w:fill="00FFFF" w:val="clear"/>
        </w:rPr>
        <w:t xml:space="preserve"> </w:t>
      </w:r>
      <w:r>
        <w:rPr>
          <w:rFonts w:eastAsia="宋体" w:hint="eastAsia"/>
          <w:shd w:fill="00FFFF" w:val="clear"/>
        </w:rPr>
        <w:t>S</w:t>
      </w:r>
      <w:r>
        <w:rPr>
          <w:rFonts w:eastAsia="宋体" w:hint="eastAsia"/>
          <w:shd w:fill="00FFFF" w:val="clear"/>
        </w:rPr>
        <w:t>2</w:t>
      </w:r>
      <w:r>
        <w:rPr>
          <w:rFonts w:eastAsia="宋体" w:hint="eastAsia"/>
          <w:shd w:fill="00FFFF" w:val="clear"/>
        </w:rPr>
        <w:t>B</w:t>
      </w:r>
      <w:r>
        <w:rPr/>
        <w:t xml:space="preserve">). Again, </w:t>
      </w:r>
      <w:r>
        <w:rPr>
          <w:rFonts w:eastAsia="宋体"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Web"/>
        <w:rPr/>
      </w:pPr>
      <w:r>
        <w:rPr>
          <w:rFonts w:eastAsia="宋体"/>
          <w:b/>
          <w:bCs/>
          <w:i/>
          <w:iCs/>
        </w:rPr>
        <w:t>APOBEC3A activity and InsDel_Aβ</w:t>
      </w:r>
      <w:r>
        <w:rPr>
          <w:rFonts w:eastAsia="宋体" w:hint="eastAsia"/>
          <w:b/>
          <w:bCs/>
          <w:i/>
          <w:iCs/>
        </w:rPr>
        <w:t xml:space="preserve">. </w:t>
      </w:r>
      <w:r>
        <w:rPr>
          <w:rFonts w:eastAsia="宋体"/>
        </w:rPr>
        <w:t>We identified InsDel_Aβ,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w:t>
      </w:r>
      <w:r>
        <w:rPr>
          <w:rFonts w:eastAsia="宋体" w:hint="eastAsia"/>
          <w:shd w:fill="00FFFF" w:val="clear"/>
        </w:rPr>
        <w:t>F</w:t>
      </w:r>
      <w:r>
        <w:rPr>
          <w:rFonts w:eastAsia="宋体"/>
          <w:shd w:fill="00FFFF" w:val="clear"/>
        </w:rPr>
        <w:t>i</w:t>
      </w:r>
      <w:r>
        <w:rPr>
          <w:rFonts w:eastAsia="宋体" w:hint="eastAsia"/>
          <w:shd w:fill="00FFFF" w:val="clear"/>
        </w:rPr>
        <w:t>gure</w:t>
      </w:r>
      <w:r>
        <w:rPr>
          <w:rFonts w:eastAsia="Times New Roman" w:hint="eastAsia"/>
          <w:shd w:fill="00FFFF" w:val="clear"/>
        </w:rPr>
        <w:t xml:space="preserve"> </w:t>
      </w:r>
      <w:r>
        <w:rPr>
          <w:rFonts w:eastAsia="宋体" w:hint="eastAsia"/>
          <w:shd w:fill="00FFFF" w:val="clear"/>
        </w:rPr>
        <w:t>S</w:t>
      </w:r>
      <w:r>
        <w:rPr>
          <w:rFonts w:eastAsia="宋体" w:hint="eastAsia"/>
          <w:shd w:fill="00FFFF" w:val="clear"/>
        </w:rPr>
        <w:t>2</w:t>
      </w:r>
      <w:r>
        <w:rPr>
          <w:rFonts w:eastAsia="宋体" w:hint="eastAsia"/>
          <w:shd w:fill="00FFFF" w:val="clear"/>
        </w:rPr>
        <w:t>C</w:t>
      </w:r>
      <w:r>
        <w:rPr>
          <w:rFonts w:eastAsia="宋体" w:hint="eastAsia"/>
        </w:rPr>
        <w:t>, right sub-panel</w:t>
      </w:r>
      <w:r>
        <w:rPr>
          <w:rFonts w:eastAsia="宋体"/>
        </w:rPr>
        <w:t xml:space="preserve">). Thus, InsDel_Aβ mutates the same sequences as SBS2 </w:t>
      </w:r>
      <w:r>
        <w:rPr>
          <w:rFonts w:eastAsia="宋体" w:hint="eastAsia"/>
        </w:rPr>
        <w:t>(TCA</w:t>
      </w:r>
      <w:r>
        <w:rPr>
          <w:rFonts w:hint="eastAsia"/>
        </w:rPr>
        <w:t>→</w:t>
      </w:r>
      <w:r>
        <w:rPr>
          <w:rFonts w:eastAsia="宋体" w:hint="eastAsia"/>
        </w:rPr>
        <w:t>TTA and TCT</w:t>
      </w:r>
      <w:r>
        <w:rPr>
          <w:rFonts w:cs="DejaVu Sans" w:hint="eastAsia" w:ascii="DejaVu Sans" w:hAnsi="DejaVu Sans"/>
        </w:rPr>
        <w:t>→</w:t>
      </w:r>
      <w:r>
        <w:rPr>
          <w:rFonts w:eastAsia="宋体" w:hint="eastAsia"/>
        </w:rPr>
        <w:t>TTT)</w:t>
      </w:r>
      <w:r>
        <w:rPr>
          <w:rFonts w:eastAsia="宋体"/>
        </w:rPr>
        <w:t xml:space="preserve"> and SBS13 </w:t>
      </w:r>
      <w:r>
        <w:rPr>
          <w:rFonts w:eastAsia="宋体" w:hint="eastAsia"/>
        </w:rPr>
        <w:t>(TCA</w:t>
      </w:r>
      <w:r>
        <w:rPr>
          <w:rFonts w:cs="DejaVu Sans" w:hint="eastAsia" w:ascii="DejaVu Sans" w:hAnsi="DejaVu Sans"/>
        </w:rPr>
        <w:t>→</w:t>
      </w:r>
      <w:r>
        <w:rPr>
          <w:rFonts w:eastAsia="宋体" w:hint="eastAsia"/>
        </w:rPr>
        <w:t>TGA and TCT</w:t>
      </w:r>
      <w:r>
        <w:rPr>
          <w:rFonts w:cs="DejaVu Sans" w:hint="eastAsia" w:ascii="DejaVu Sans" w:hAnsi="DejaVu Sans"/>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6" w:name="ZOTERO_BREF_CAdMe2IeGVl5"/>
      <w:r>
        <w:rPr>
          <w:rFonts w:eastAsia="宋体"/>
        </w:rPr>
        <w:t>(DeWeerd et al. 2022)</w:t>
      </w:r>
      <w:bookmarkEnd w:id="16"/>
      <w:r>
        <w:rPr>
          <w:rFonts w:eastAsia="宋体"/>
        </w:rPr>
        <w:t xml:space="preserve">. This signature was was also noted in </w:t>
      </w:r>
      <w:bookmarkStart w:id="17" w:name="ZOTERO_BREF_EcFI6Fskdsau"/>
      <w:r>
        <w:rPr>
          <w:rFonts w:eastAsia="宋体"/>
        </w:rPr>
        <w:t>(Koh et al. 2025)</w:t>
      </w:r>
      <w:bookmarkEnd w:id="17"/>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18" w:name="ZOTERO_BREF_PIzfJaCA5fo2"/>
      <w:r>
        <w:rPr>
          <w:rFonts w:eastAsia="宋体"/>
        </w:rPr>
        <w:t>(DeWeerd et al. 2022)</w:t>
      </w:r>
      <w:bookmarkEnd w:id="18"/>
      <w:r>
        <w:rPr/>
        <w:t>.</w:t>
      </w:r>
      <w:r>
        <w:rPr>
          <w:rFonts w:eastAsia="宋体" w:hint="eastAsia"/>
        </w:rPr>
        <w:t xml:space="preserve"> Notably compared to ID9, </w:t>
      </w:r>
      <w:r>
        <w:rPr>
          <w:rFonts w:eastAsia="宋体"/>
        </w:rPr>
        <w:t xml:space="preserve">ID_A lacks the prominent 1 bp T deletions present in C_ID9 </w:t>
      </w:r>
      <w:r>
        <w:rPr>
          <w:rFonts w:eastAsia="宋体" w:hint="eastAsia"/>
          <w:shd w:fill="00FFFF" w:val="clear"/>
        </w:rPr>
        <w:t>(</w:t>
      </w:r>
      <w:r>
        <w:rPr>
          <w:rFonts w:eastAsia="宋体" w:hint="eastAsia"/>
          <w:shd w:fill="00FFFF" w:val="clear"/>
        </w:rPr>
        <w:t>Figure</w:t>
      </w:r>
      <w:r>
        <w:rPr>
          <w:rFonts w:eastAsia="Times New Roman" w:hint="eastAsia"/>
          <w:shd w:fill="00FFFF" w:val="clear"/>
        </w:rPr>
        <w:t xml:space="preserve"> </w:t>
      </w:r>
      <w:r>
        <w:rPr>
          <w:rFonts w:eastAsia="宋体" w:hint="eastAsia"/>
          <w:shd w:fill="00FFFF" w:val="clear"/>
        </w:rPr>
        <w:t>S2C</w:t>
      </w:r>
      <w:r>
        <w:rPr>
          <w:rFonts w:eastAsia="宋体" w:hint="eastAsia"/>
          <w:shd w:fill="00FFFF" w:val="clear"/>
        </w:rPr>
        <w:t>)</w:t>
      </w:r>
      <w:r>
        <w:rPr>
          <w:rFonts w:eastAsia="宋体"/>
        </w:rPr>
        <w:t>. In addition, the corresponding InsDel9 476-type signature also many deletions of a single C following A or G, which are essentially absent in InsDel_Aβ.</w:t>
      </w:r>
    </w:p>
    <w:p>
      <w:pPr>
        <w:pStyle w:val="normalfirst"/>
        <w:rPr>
          <w:shd w:fill="FFFF00" w:val="clear"/>
        </w:rPr>
      </w:pPr>
      <w:r>
        <w:rPr>
          <w:b/>
          <w:bCs/>
          <w:i/>
          <w:iCs/>
          <w:shd w:fill="FFFF00" w:val="clear"/>
        </w:rPr>
        <w:t xml:space="preserve">STEVE DEFINITE NEED PARAGRAPH </w:t>
      </w:r>
      <w:r>
        <w:rPr>
          <w:i/>
          <w:iCs/>
          <w:shd w:fill="FFFF00" w:val="clear"/>
        </w:rPr>
        <w:t>N_beta is the new ID2</w:t>
      </w:r>
    </w:p>
    <w:p>
      <w:pPr>
        <w:pStyle w:val="Normal"/>
        <w:rPr>
          <w:shd w:fill="FFFF00" w:val="clear"/>
        </w:rPr>
      </w:pPr>
      <w:r>
        <w:rPr>
          <w:shd w:fill="FFFF00" w:val="clear"/>
        </w:rPr>
        <w:t>A similar pattern was observed for ID_N, which was found in all cancer types. Its sub-signature, InsDel_N</w:t>
      </w:r>
      <w:r>
        <w:rPr>
          <w:rFonts w:eastAsia="宋体"/>
          <w:shd w:fill="FFFF00" w:val="clear"/>
        </w:rPr>
        <w:t>α</w:t>
      </w:r>
      <w:r>
        <w:rPr>
          <w:shd w:fill="FFFF00" w:val="clear"/>
        </w:rPr>
        <w:t>, was specifically linked to POLE mutations and mismatch repair deficiency, whereas InsDel_N</w:t>
      </w:r>
      <w:r>
        <w:rPr>
          <w:rFonts w:eastAsia="宋体"/>
          <w:shd w:fill="FFFF00" w:val="clear"/>
        </w:rPr>
        <w:t>β</w:t>
      </w:r>
      <w:r>
        <w:rPr>
          <w:shd w:fill="FFFF00" w:val="clear"/>
        </w:rPr>
        <w:t xml:space="preserve"> was prevalent across a broad range of cancer types.</w:t>
      </w:r>
    </w:p>
    <w:p>
      <w:pPr>
        <w:pStyle w:val="Heading3"/>
        <w:numPr>
          <w:ilvl w:val="0"/>
          <w:numId w:val="0"/>
        </w:numPr>
        <w:ind w:hanging="0" w:start="0"/>
        <w:rPr>
          <w:i/>
          <w:iCs/>
          <w:sz w:val="24"/>
          <w:szCs w:val="24"/>
        </w:rPr>
      </w:pPr>
      <w:r>
        <w:rPr>
          <w:i/>
          <w:iCs/>
          <w:sz w:val="24"/>
          <w:szCs w:val="24"/>
        </w:rPr>
        <w:t>Associations between indel signatures and SBS signatures &lt;FOR STEVE TO REVIEW&gt;</w:t>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Using unsupervised hierarchical clustering, we grouped mutational signatures into several distinct modules </w:t>
      </w:r>
      <w:r>
        <w:rPr>
          <w:shd w:fill="00FFFF" w:val="clear"/>
        </w:rPr>
        <w:t xml:space="preserve">(Figure </w:t>
      </w:r>
      <w:r>
        <w:rPr>
          <w:rFonts w:eastAsia="宋体" w:hint="eastAsia"/>
          <w:shd w:fill="00FFFF" w:val="clear"/>
        </w:rPr>
        <w:t>4</w:t>
      </w:r>
      <w:r>
        <w:rPr>
          <w:shd w:fill="00FFFF" w:val="clear"/>
        </w:rPr>
        <w:t>)</w:t>
      </w:r>
      <w:r>
        <w:rPr/>
        <w:t>. The APOBEC-related cluster includes SBS2 and SBS13 and sho</w:t>
      </w:r>
      <w:r>
        <w:rPr>
          <w:rFonts w:eastAsia="宋体"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宋体" w:hint="eastAsia"/>
        </w:rPr>
        <w:t>4</w:t>
      </w:r>
      <w:r>
        <w:rPr/>
        <w:t>,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correlation patterns. </w:t>
      </w:r>
      <w:r>
        <w:rPr>
          <w:shd w:fill="FFFF00" w:val="clear"/>
        </w:rPr>
        <w:t>&lt;bring this up earlier or not &gt;</w:t>
      </w:r>
      <w:r>
        <w:rPr/>
        <w:t xml:space="preserve"> InsDel1a closely recapitulated the correlation profile of the original C_ID1, and frequently co-occurred with SBS88, SBS17, and SBS93, which are prominent in the </w:t>
      </w:r>
      <w:r>
        <w:rPr>
          <w:shd w:fill="FFFF00" w:val="clear"/>
        </w:rPr>
        <w:t xml:space="preserve">GI enriched </w:t>
      </w:r>
      <w:r>
        <w:rPr/>
        <w:t>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w:t>
      </w:r>
      <w:r>
        <w:rPr>
          <w:rFonts w:eastAsia="宋体" w:hint="eastAsia"/>
        </w:rPr>
        <w:t>4</w:t>
      </w:r>
      <w:r>
        <w:rPr/>
        <w:t xml:space="preserve">, “Lung Tobacco Smoking”). </w:t>
      </w:r>
      <w:r>
        <w:rPr>
          <w:shd w:fill="FFFF00" w:val="clear"/>
        </w:rPr>
        <w:t xml:space="preserve">&lt;add cisplatin here&gt; </w:t>
      </w:r>
      <w:r>
        <w:rPr/>
        <w:t xml:space="preserve">In the gastrointestinal (GI)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宋体" w:hint="eastAsia"/>
        </w:rPr>
        <w:t>4</w:t>
      </w:r>
      <w:r>
        <w:rPr/>
        <w:t xml:space="preserve">). </w:t>
      </w:r>
    </w:p>
    <w:p>
      <w:pPr>
        <w:pStyle w:val="Heading2"/>
        <w:rPr/>
      </w:pPr>
      <w:r>
        <w:rPr>
          <w:rFonts w:hint="eastAsia"/>
        </w:rPr>
        <w:t>Topography of indel mutational signatures &lt;MO EDIT&gt;</w:t>
      </w:r>
    </w:p>
    <w:p>
      <w:pPr>
        <w:pStyle w:val="Normal"/>
        <w:ind w:hanging="0"/>
        <w:rPr>
          <w:rFonts w:eastAsia="宋体"/>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w:t>
      </w:r>
      <w:r>
        <w:rPr>
          <w:rFonts w:eastAsia="Times New Roman" w:hint="eastAsia"/>
          <w:shd w:fill="00FFFF" w:val="clear"/>
        </w:rPr>
        <w:t>3C&lt;the panels are not cited in order, and panel A is not discussed?&gt;</w:t>
      </w:r>
      <w:r>
        <w:rPr>
          <w:rFonts w:eastAsia="Times New Roman"/>
          <w:shd w:fill="00FFFF" w:val="clear"/>
        </w:rPr>
        <w:t xml:space="preserve">, Table </w:t>
      </w:r>
      <w:r>
        <w:rPr>
          <w:rFonts w:eastAsia="Times New Roman" w:hint="eastAsia"/>
          <w:shd w:fill="00FFFF" w:val="clear"/>
        </w:rPr>
        <w:t>S12</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rPr/>
        <w:t xml:space="preserve"> (topoisomerase-1 </w:t>
      </w:r>
      <w:r>
        <w:rPr>
          <w:rFonts w:eastAsia="宋体" w:hint="eastAsia"/>
        </w:rPr>
        <w:t>[</w:t>
      </w:r>
      <w:r>
        <w:rPr/>
        <w:t>TOP1</w:t>
      </w:r>
      <w:r>
        <w:rPr>
          <w:rFonts w:eastAsia="宋体"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w:t>
      </w:r>
      <w:r>
        <w:rPr>
          <w:rFonts w:eastAsia="Times New Roman" w:hint="eastAsia"/>
          <w:shd w:fill="00FFFF" w:val="clear"/>
        </w:rPr>
        <w:t>3B</w:t>
      </w:r>
      <w:r>
        <w:rPr>
          <w:rFonts w:eastAsia="Times New Roman"/>
          <w:shd w:fill="00FFFF" w:val="clear"/>
        </w:rPr>
        <w:t xml:space="preserve">, Table </w:t>
      </w:r>
      <w:r>
        <w:rPr>
          <w:rFonts w:eastAsia="Times New Roman" w:hint="eastAsia"/>
          <w:shd w:fill="00FFFF" w:val="clear"/>
        </w:rPr>
        <w:t>S12</w:t>
      </w:r>
      <w:r>
        <w:rPr>
          <w:rFonts w:eastAsia="Times New Roman"/>
        </w:rPr>
        <w:t>). A</w:t>
      </w:r>
      <w:r>
        <w:rP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宋体" w:hint="eastAsia"/>
        </w:rPr>
        <w:t>3</w:t>
      </w:r>
      <w:r>
        <w:rPr/>
        <w:t xml:space="preserve"> </w:t>
      </w:r>
      <w:r>
        <w:rPr>
          <w:rFonts w:eastAsia="宋体" w:hint="eastAsia"/>
        </w:rPr>
        <w:t>defective MMR</w:t>
      </w:r>
      <w:r>
        <w:rPr/>
        <w:t xml:space="preserve"> signatures displayed distinct replication strand asymmetries, where ID_K was enriched predominantly on the leading strand, whereas C_ID7 and ID_N showed preferential enrichment on the lagging strand. </w:t>
      </w:r>
      <w:commentRangeStart w:id="0"/>
      <w:r>
        <w:rP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0"/>
      <w:r>
        <w:commentReference w:id="0"/>
      </w:r>
      <w:r>
        <w:rPr/>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w:t>
      </w:r>
      <w:r>
        <w:rPr>
          <w:rFonts w:hint="eastAsia"/>
          <w:shd w:fill="00FFFF" w:val="clear"/>
        </w:rPr>
        <w:t>3</w:t>
      </w:r>
      <w:r>
        <w:rPr>
          <w:rFonts w:hint="eastAsia"/>
          <w:shd w:fill="00FFFF" w:val="clear"/>
        </w:rPr>
        <w:t>A&lt;</w:t>
      </w:r>
      <w:r>
        <w:rPr>
          <w:rFonts w:hint="eastAsia"/>
          <w:shd w:fill="00FFFF" w:val="clear"/>
        </w:rPr>
        <w:t>panel cited out of order&gt;</w:t>
      </w:r>
      <w:r>
        <w:rPr>
          <w:rFonts w:hint="eastAsia"/>
          <w:shd w:fill="00FFFF" w:val="clear"/>
        </w:rPr>
        <w: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宋体" w:hint="eastAsia"/>
        </w:rPr>
        <w:t>5</w:t>
      </w:r>
      <w:r>
        <w:rPr>
          <w:rFonts w:hint="eastAsia"/>
        </w:rPr>
        <w:t>C)</w:t>
      </w:r>
      <w:r>
        <w:rPr/>
        <w:t xml:space="preserve">. Among the 6 signatures, </w:t>
      </w:r>
      <w:r>
        <w:rPr>
          <w:rFonts w:eastAsia="宋体"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宋体" w:hint="eastAsia"/>
        </w:rPr>
        <w:t xml:space="preserve"> and</w:t>
      </w:r>
      <w:r>
        <w:rPr/>
        <w:t xml:space="preserve"> </w:t>
      </w:r>
      <w:r>
        <w:rPr>
          <w:rFonts w:eastAsia="宋体" w:hint="eastAsia"/>
        </w:rPr>
        <w:t xml:space="preserve">ID_F </w:t>
      </w:r>
      <w:r>
        <w:rPr/>
        <w:t>(TOP1-mediated</w:t>
      </w:r>
      <w:r>
        <w:rPr>
          <w:rFonts w:eastAsia="Times New Roman"/>
        </w:rPr>
        <w:t xml:space="preserve"> mutagenesis). Another </w:t>
      </w:r>
      <w:r>
        <w:rPr>
          <w:rFonts w:eastAsia="Times New Roman" w:hint="eastAsia"/>
        </w:rPr>
        <w:t>3</w:t>
      </w:r>
      <w:r>
        <w:rPr>
          <w:rFonts w:eastAsia="Times New Roman"/>
        </w:rPr>
        <w:t xml:space="preserve"> signatures with mutation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(Figure 5D</w:t>
      </w:r>
      <w:r>
        <w:rPr>
          <w:rFonts w:eastAsia="Times New Roman" w:cs="宋体" w:hint="eastAsia"/>
        </w:rPr>
        <w:t>,</w:t>
      </w:r>
      <w:r>
        <w:rPr>
          <w:rFonts w:eastAsia="Times New Roman" w:hint="eastAsia"/>
        </w:rPr>
        <w:t xml:space="preserve"> </w:t>
      </w:r>
      <w:r>
        <w:rPr>
          <w:rFonts w:eastAsia="宋体" w:hint="eastAsia"/>
          <w:shd w:fill="00FFFF" w:val="clear"/>
        </w:rPr>
        <w:t>Figure</w:t>
      </w:r>
      <w:r>
        <w:rPr>
          <w:rFonts w:eastAsia="Times New Roman" w:hint="eastAsia"/>
          <w:shd w:fill="00FFFF" w:val="clear"/>
        </w:rPr>
        <w:t xml:space="preserve"> </w:t>
      </w:r>
      <w:r>
        <w:rPr>
          <w:rFonts w:eastAsia="Times New Roman" w:hint="eastAsia"/>
          <w:shd w:fill="00FFFF" w:val="clear"/>
        </w:rPr>
        <w:t>S4</w:t>
      </w:r>
      <w:r>
        <w:rPr>
          <w:shd w:fill="00FFFF" w:val="clear"/>
        </w:rPr>
        <w:t>,</w:t>
      </w:r>
      <w:r>
        <w:rPr/>
        <w:t xml:space="preserve"> </w:t>
      </w:r>
      <w:r>
        <w:rPr>
          <w:shd w:fill="00FFFF" w:val="clear"/>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commentRangeStart w:id="1"/>
      <w:commentRangeStart w:id="2"/>
      <w:r>
        <w:rPr>
          <w:shd w:fill="00FFFF" w:val="clear"/>
        </w:rPr>
        <w:t>Figure S</w:t>
      </w:r>
      <w:r>
        <w:rPr>
          <w:rFonts w:eastAsia="宋体" w:hint="eastAsia"/>
          <w:shd w:fill="00FFFF" w:val="clear"/>
        </w:rPr>
        <w:t>4</w:t>
      </w:r>
      <w:r>
        <w:rPr>
          <w:rFonts w:eastAsia="宋体" w:hint="eastAsia"/>
          <w:shd w:fill="00FFFF" w:val="clear"/>
        </w:rPr>
      </w:r>
      <w:commentRangeEnd w:id="2"/>
      <w:r>
        <w:commentReference w:id="2"/>
      </w:r>
      <w:r>
        <w:rPr>
          <w:rFonts w:eastAsia="宋体" w:hint="eastAsia"/>
          <w:shd w:fill="00FFFF" w:val="clear"/>
        </w:rPr>
      </w:r>
      <w:commentRangeEnd w:id="1"/>
      <w:r>
        <w:commentReference w:id="1"/>
      </w:r>
      <w:r>
        <w:rPr>
          <w:shd w:fill="00FFFF" w:val="clear"/>
        </w:rPr>
        <w:t>, Table S</w:t>
      </w:r>
      <w:r>
        <w:rPr>
          <w:rFonts w:eastAsia="宋体" w:hint="eastAsia"/>
          <w:shd w:fill="00FFFF" w:val="clear"/>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(Jin et al. 2024; Reijns et al. 2022; Koh et al. 2025)</w:t>
      </w:r>
      <w:bookmarkEnd w:id="19"/>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 xml:space="preserve">&lt;Put the mice first&gt; </w:t>
      </w:r>
      <w:r>
        <w:rPr/>
        <w:t>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fill="00FFFF" w:val="clear"/>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宋体"/>
        </w:rPr>
      </w:pPr>
      <w:r>
        <w:rPr/>
        <w:t>Demographic Associations</w:t>
      </w:r>
      <w:r>
        <w:rPr>
          <w:rFonts w:eastAsia="宋体" w:hint="eastAsia"/>
        </w:rPr>
        <w:t xml:space="preserve"> with Gender and Age STEVE REVIEW</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fill="00FFFF" w:val="clear"/>
        </w:rPr>
        <w:t>Figure S6A,</w:t>
      </w:r>
      <w:r>
        <w:rPr>
          <w:rFonts w:eastAsia="宋体" w:hint="eastAsia"/>
        </w:rPr>
        <w:t xml:space="preserve"> </w:t>
      </w:r>
      <w:r>
        <w:rPr>
          <w:rFonts w:eastAsia="宋体" w:hint="eastAsia"/>
          <w:shd w:fill="00FFFF" w:val="clear"/>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fill="00FFFF" w:val="clear"/>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fill="FFFF00" w:val="clear"/>
        </w:rPr>
        <w:t>(</w:t>
      </w:r>
      <w:r>
        <w:rPr>
          <w:rFonts w:eastAsia="宋体" w:hint="eastAsia"/>
          <w:shd w:fill="00FFFF" w:val="clear"/>
        </w:rPr>
        <w:t>Table S16</w:t>
      </w:r>
      <w:r>
        <w:rPr>
          <w:rFonts w:eastAsia="宋体" w:hint="eastAsia"/>
          <w:shd w:fill="FFFF00" w:val="clear"/>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宋体"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3"/>
      <w:commentRangeStart w:id="4"/>
      <w:commentRangeStart w:id="5"/>
      <w:commentRangeStart w:id="6"/>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6"/>
      <w:r>
        <w:commentReference w:id="6"/>
      </w:r>
      <w:r>
        <w:rPr>
          <w:rFonts w:eastAsia="宋体" w:eastAsiaTheme="minorEastAsia"/>
        </w:rPr>
      </w:r>
      <w:commentRangeEnd w:id="5"/>
      <w:r>
        <w:commentReference w:id="5"/>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宋体" w:hint="eastAsia"/>
        </w:rPr>
        <w:t>)</w:t>
      </w:r>
      <w:r>
        <w:rPr/>
        <w:t>. Hartwig Medical Foundation</w:t>
      </w:r>
      <w:r>
        <w:rPr>
          <w:rFonts w:eastAsia="宋体"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宋体"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宋体" w:hint="eastAsia"/>
        </w:rPr>
        <w:t>6</w:t>
      </w:r>
      <w:r>
        <w:rPr>
          <w:rFonts w:hint="eastAsia"/>
        </w:rPr>
        <w:t xml:space="preserve"> in </w:t>
      </w:r>
      <w:bookmarkStart w:id="20" w:name="ZOTERO_BREF_Jmprd6S6YeS8"/>
      <w:r>
        <w:rPr>
          <w:rFonts w:hint="eastAsia"/>
        </w:rPr>
        <w:t>(Priestley et al. 2019)</w:t>
      </w:r>
      <w:bookmarkEnd w:id="20"/>
      <w:r>
        <w:rPr/>
        <w:t xml:space="preserve">. </w:t>
      </w:r>
    </w:p>
    <w:p>
      <w:pPr>
        <w:pStyle w:val="Heading2"/>
        <w:rPr/>
      </w:pPr>
      <w:r>
        <w:rPr>
          <w:rFonts w:hint="eastAsia"/>
        </w:rPr>
        <w:t xml:space="preserve">De novo </w:t>
      </w:r>
      <w:r>
        <w:rPr/>
        <w:t>Mutational signature extraction</w:t>
      </w:r>
    </w:p>
    <w:p>
      <w:pPr>
        <w:pStyle w:val="Normal"/>
        <w:ind w:firstLineChars="20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spacing w:before="0" w:after="0"/>
        <w:ind w:firstLineChars="200"/>
        <w:rPr>
          <w:rFonts w:eastAsia="Times New Roman"/>
        </w:rPr>
      </w:pPr>
      <w:r>
        <w:rPr>
          <w:rFonts w:eastAsia="宋体" w:hint="eastAsia"/>
        </w:rPr>
        <w:t xml:space="preserve">For 83-type signatures, the signatures were matched to previously identified COSMIC signatures (v3.5, </w:t>
      </w:r>
      <w:hyperlink r:id="rId6">
        <w:r>
          <w:rPr>
            <w:rStyle w:val="Hyperlink"/>
            <w:rFonts w:eastAsia="宋体"/>
          </w:rPr>
          <w:t>https://cancer.sanger.ac.uk/signatures/id/</w:t>
        </w:r>
      </w:hyperlink>
      <w:r>
        <w:rPr>
          <w:rFonts w:eastAsia="宋体"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宋体"/>
        </w:rPr>
      </w:pPr>
      <w:r>
        <w:rPr>
          <w:rFonts w:eastAsia="Times New Roman" w:ascii="Times New Roman" w:hAnsi="Times New Roman"/>
        </w:rPr>
        <w:t xml:space="preserve">We compared all </w:t>
      </w:r>
      <w:r>
        <w:rPr>
          <w:rFonts w:eastAsia="Times New Roman" w:ascii="Times New Roman" w:hAnsi="Times New Roman"/>
          <w:i/>
          <w:iCs/>
        </w:rPr>
        <w:t>de novo</w:t>
      </w:r>
      <w:r>
        <w:rPr>
          <w:rFonts w:eastAsia="Times New Roman" w:ascii="Times New Roman" w:hAnsi="Times New Roman"/>
        </w:rPr>
        <w:t xml:space="preserve"> signatures </w:t>
      </w:r>
      <w:r>
        <w:rPr>
          <w:rFonts w:eastAsia="Times New Roman" w:hint="eastAsia" w:ascii="Times New Roman" w:hAnsi="Times New Roman"/>
        </w:rPr>
        <w:t>supported by both mSigHdp</w:t>
      </w:r>
      <w:r>
        <w:rPr>
          <w:rFonts w:eastAsia="宋体" w:hint="eastAsia"/>
        </w:rPr>
        <w:t xml:space="preserve"> and SigProfilerExtractor </w:t>
      </w:r>
      <w:r>
        <w:rPr/>
        <w:t xml:space="preserve">to </w:t>
      </w:r>
      <w:r>
        <w:rPr>
          <w:rFonts w:eastAsia="宋体" w:hint="eastAsia"/>
        </w:rPr>
        <w:t>the published</w:t>
      </w:r>
      <w:r>
        <w:rPr/>
        <w:t xml:space="preserve"> signatures and categorized them into three groups: (1) known signature: if</w:t>
      </w:r>
      <w:r>
        <w:rPr>
          <w:rFonts w:eastAsia="宋体"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rPr>
        <w:t xml:space="preserve">extracted </w:t>
      </w:r>
      <w:r>
        <w:rPr/>
        <w:t xml:space="preserve">signatures do not fit into the known signatures or the merged signatures. </w:t>
      </w:r>
      <w:r>
        <w:rPr>
          <w:rFonts w:eastAsia="宋体" w:hint="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 xml:space="preserve">First, we applied the find_best_reconstruction_QP function from the </w:t>
      </w:r>
      <w:r>
        <w:rPr>
          <w:rFonts w:eastAsia="宋体"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宋体" w:hint="eastAsia"/>
        </w:rPr>
        <w:t xml:space="preserve">an 83-type </w:t>
      </w:r>
      <w:r>
        <w:rPr/>
        <w:t xml:space="preserve">signature was determined for both real and simulated data. An </w:t>
      </w:r>
      <w:r>
        <w:rPr>
          <w:rFonts w:eastAsia="宋体"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宋体" w:hint="eastAsia"/>
        </w:rPr>
        <w:t>83-type</w:t>
      </w:r>
      <w:r>
        <w:rPr/>
        <w:t xml:space="preserve"> signature for the two datasets (real and simulated data) were different, the relative trend for real data comparing the simulated data was the final trend for the </w:t>
      </w:r>
      <w:r>
        <w:rPr>
          <w:rFonts w:eastAsia="宋体" w:hint="eastAsia"/>
        </w:rPr>
        <w:t>83-type</w:t>
      </w:r>
      <w:r>
        <w:rPr/>
        <w:t xml:space="preserve"> signature. Otherwise, if the trends of a certain </w:t>
      </w:r>
      <w:r>
        <w:rPr>
          <w:rFonts w:eastAsia="宋体"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宋体"/>
        </w:rPr>
      </w:pPr>
      <w:r>
        <w:rPr/>
        <w:t xml:space="preserve">Similarly, the final trend of an </w:t>
      </w:r>
      <w:r>
        <w:rPr>
          <w:rFonts w:eastAsia="宋体" w:hint="eastAsia"/>
        </w:rPr>
        <w:t>83-type</w:t>
      </w:r>
      <w:r>
        <w:rPr/>
        <w:t xml:space="preserve"> signature were determined by the significance of the coefficient of replication timing. If it is not significant, an </w:t>
      </w:r>
      <w:r>
        <w:rPr>
          <w:rFonts w:eastAsia="宋体" w:hint="eastAsia"/>
        </w:rPr>
        <w:t>83-type</w:t>
      </w:r>
      <w:r>
        <w:rPr/>
        <w:t xml:space="preserve"> signature was considered to be generally unaffected by replication timing. Otherwise, if the coefficient of replication timing &gt; 0, an </w:t>
      </w:r>
      <w:r>
        <w:rPr>
          <w:rFonts w:eastAsia="宋体" w:hint="eastAsia"/>
        </w:rPr>
        <w:t>83-type</w:t>
      </w:r>
      <w:r>
        <w:rPr/>
        <w:t xml:space="preserve"> signature was considered to be increasing from early to late replicating regions; if the coefficient of replication timing &lt; 0, an </w:t>
      </w:r>
      <w:r>
        <w:rPr>
          <w:rFonts w:eastAsia="宋体" w:hint="eastAsia"/>
        </w:rPr>
        <w:t>83-type</w:t>
      </w:r>
      <w:r>
        <w:rPr/>
        <w:t xml:space="preserve"> signature was considered to be decreasing from early to late replicating regions.</w:t>
      </w:r>
    </w:p>
    <w:p>
      <w:pPr>
        <w:pStyle w:val="Normal"/>
        <w:rPr>
          <w:highlight w:val="none"/>
          <w:shd w:fill="FF0000" w:val="clear"/>
        </w:rPr>
      </w:pPr>
      <w:r>
        <w:rPr>
          <w:rFonts w:eastAsia="宋体"/>
          <w:shd w:fill="FF0000" w:val="clear"/>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宋体"/>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宋体" w:hint="eastAsia"/>
        </w:rPr>
        <w:t xml:space="preserve">, and </w:t>
      </w:r>
      <w:r>
        <w:rPr>
          <w:rFonts w:hint="eastAsia"/>
        </w:rPr>
        <w:t xml:space="preserve">R.Y. characterized the topography of 83-type mutational signatures. </w:t>
      </w:r>
      <w:r>
        <w:rPr>
          <w:rFonts w:eastAsia="宋体"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宋体"/>
        </w:rPr>
      </w:pPr>
      <w:r>
        <w:rPr>
          <w:b/>
          <w:bCs/>
        </w:rPr>
        <w:t>Declaration of generative AI and AI-assisted technologies in the writing process.</w:t>
      </w:r>
      <w:r>
        <w:rPr>
          <w:rFonts w:eastAsia="宋体"/>
        </w:rPr>
        <w:t xml:space="preserve">  </w:t>
      </w:r>
    </w:p>
    <w:p>
      <w:pPr>
        <w:pStyle w:val="normalfirst"/>
        <w:rPr>
          <w:rFonts w:eastAsia="宋体"/>
        </w:rPr>
      </w:pPr>
      <w:r>
        <w:rPr>
          <w:rFonts w:eastAsia="宋体"/>
        </w:rPr>
        <w:t xml:space="preserve">During the preparation of this work the author(s) used </w:t>
      </w:r>
      <w:r>
        <w:rPr>
          <w:rFonts w:eastAsia="宋体" w:hint="eastAsia"/>
        </w:rPr>
        <w:t xml:space="preserve">Claude </w:t>
      </w:r>
      <w:r>
        <w:rPr>
          <w:rFonts w:eastAsia="宋体"/>
        </w:rPr>
        <w:t xml:space="preserve">in order to </w:t>
      </w:r>
      <w:r>
        <w:rPr/>
        <w:t>polish the text and ensure grammatical accuracy and appropriate vocabulary usage</w:t>
      </w:r>
      <w:r>
        <w:rPr>
          <w:rFonts w:eastAsia="宋体"/>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1"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1"/>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3"/>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before="0" w:after="0"/>
        <w:ind w:hanging="0"/>
        <w:rPr>
          <w:sz w:val="18"/>
          <w:szCs w:val="18"/>
        </w:rPr>
      </w:pPr>
      <w:r>
        <w:rPr>
          <w:rFonts w:eastAsia="宋体" w:eastAsiaTheme="minorEastAsia"/>
          <w:b/>
          <w:bCs/>
          <w:sz w:val="18"/>
          <w:szCs w:val="18"/>
        </w:rPr>
        <w:t xml:space="preserve">Figure </w:t>
      </w:r>
      <w:r>
        <w:rPr>
          <w:rFonts w:eastAsia="宋体"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w:t>
      </w:r>
      <w:r>
        <w:rPr>
          <w:rFonts w:eastAsia="宋体"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6"/>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eastAsia="宋体"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宋体" w:cs="Noto Sans Arabic UI"/>
          <w:sz w:val="22"/>
          <w:szCs w:val="22"/>
        </w:rPr>
      </w:pPr>
      <w:r>
        <w:rPr>
          <w:rFonts w:eastAsia="宋体"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6-29T16:59:00Z" w:initials="ML">
    <w:p>
      <w:pPr>
        <w:overflowPunct w:val="true"/>
        <w:spacing w:lineRule="auto" w:line="240" w:before="0" w:after="0"/>
        <w:rPr/>
      </w:pPr>
      <w:r>
        <w:annotationRef/>
      </w:r>
      <w:r>
        <w:rPr>
          <w:rFonts w:eastAsia="宋体" w:cs="Noto Sans Arabic UI" w:ascii="Calibri" w:hAnsi="Calibri"/>
          <w:sz w:val="22"/>
          <w:szCs w:val="22"/>
        </w:rPr>
        <w:t>About ID_K, the leading strand enrichment is consistent with two POLE SBS signatures, 10a and 10b</w:t>
      </w:r>
    </w:p>
  </w:comment>
  <w:comment w:id="2" w:author="Mo Liu" w:date="2026-06-29T16:38:00Z" w:initials="ML">
    <w:p w14:paraId="01000000">
      <w:pPr>
        <w:overflowPunct w:val="true"/>
        <w:spacing w:lineRule="auto" w:line="240" w:before="0" w:after="0"/>
        <w:rPr/>
      </w:pPr>
      <w:r>
        <w:annotationRef/>
      </w:r>
      <w:r>
        <w:rPr>
          <w:rFonts w:eastAsia="宋体" w:cs="Noto Sans Arabic UI" w:ascii="Calibri" w:hAnsi="Calibri"/>
          <w:sz w:val="22"/>
          <w:szCs w:val="22"/>
        </w:rPr>
        <w:t>I see the Figure S4 was renamed to “do-not-use Figure S4”. But I forgot why… Do we still need this?</w:t>
      </w:r>
    </w:p>
  </w:comment>
  <w:comment w:id="1" w:author="Mo Liu" w:date="2026-06-29T17:03:00Z" w:initials="ML">
    <w:p w14:paraId="02000000">
      <w:pPr>
        <w:overflowPunct w:val="true"/>
        <w:spacing w:lineRule="auto" w:line="240" w:before="0" w:after="0"/>
        <w:rPr/>
      </w:pPr>
      <w:r>
        <w:annotationRef/>
      </w:r>
      <w:r>
        <w:rPr>
          <w:rFonts w:eastAsia="宋体" w:cs="Noto Sans Arabic UI" w:ascii="Calibri" w:hAnsi="Calibri"/>
          <w:sz w:val="22"/>
          <w:szCs w:val="22"/>
        </w:rPr>
        <w:t>I think this is because we want to remove the topography analysis of 89-type signatures, is this correct?</w:t>
      </w:r>
    </w:p>
  </w:comment>
  <w:comment w:id="6" w:author="Mo Liu" w:date="2026-05-25T13:45:00Z" w:initials="ML">
    <w:p w14:paraId="03000000">
      <w:pPr>
        <w:overflowPunct w:val="false"/>
        <w:spacing w:before="0" w:after="0" w:lineRule="auto" w:line="240"/>
        <w:rPr/>
      </w:pPr>
      <w:r>
        <w:annotationRef/>
      </w:r>
      <w:r>
        <w:rPr>
          <w:rFonts w:eastAsia="宋体" w:cs="Noto Sans Arabic UI" w:ascii="Calibri" w:hAnsi="Calibri"/>
          <w:sz w:val="22"/>
          <w:szCs w:val="22"/>
        </w:rPr>
        <w:t>This is true. But not sure if this worths mentioning?</w:t>
      </w:r>
    </w:p>
  </w:comment>
  <w:comment w:id="5" w:author="Steve Rozen, Ph.D." w:date="2026-05-28T17:52:00Z" w:initials="SR">
    <w:p w14:paraId="04000000">
      <w:pPr>
        <w:overflowPunct w:val="false"/>
        <w:spacing w:before="0" w:after="0" w:lineRule="auto" w:line="24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4" w:author="Mo Liu" w:date="2026-05-29T16:03:00Z" w:initials="ML">
    <w:p w14:paraId="05000000">
      <w:pPr>
        <w:overflowPunct w:val="true"/>
        <w:spacing w:lineRule="auto" w:line="240" w:before="0" w:after="0"/>
        <w:rPr/>
      </w:pPr>
      <w:r>
        <w:annotationRef/>
      </w:r>
      <w:r>
        <w:rPr>
          <w:rFonts w:eastAsia="宋体" w:cs="Noto Sans Arabic UI" w:ascii="Calibri" w:hAnsi="Calibri"/>
          <w:sz w:val="22"/>
          <w:szCs w:val="22"/>
        </w:rPr>
        <w:t>I update via email.</w:t>
      </w:r>
    </w:p>
  </w:comment>
  <w:comment w:id="3" w:author="Unknown Author" w:date="2026-07-02T20:23:00Z" w:initials="">
    <w:p>
      <w:pPr>
        <w:overflowPunct w:val="true"/>
        <w:spacing w:lineRule="auto" w:line="240" w:before="0" w:after="0"/>
        <w:rPr/>
      </w:pPr>
      <w:r>
        <w:annotationRef/>
      </w:r>
      <w:r>
        <w:rPr>
          <w:rFonts w:eastAsia="宋体" w:cs="Noto Sans Arabic UI" w:ascii="Calibri" w:hAnsi="Calibri"/>
          <w:i/>
          <w:sz w:val="16"/>
          <w:szCs w:val="22"/>
        </w:rPr>
        <w:t>Reply to Mo Liu (05/29/2026, 16:03): "..."</w:t>
      </w:r>
    </w:p>
    <w:p>
      <w:pPr>
        <w:overflowPunct w:val="true"/>
        <w:spacing w:lineRule="auto" w:line="240" w:before="1307" w:after="1087"/>
        <w:rPr/>
      </w:pPr>
      <w:r>
        <w:rPr>
          <w:rFonts w:eastAsia="宋体" w:cs="Noto Sans Arabic UI" w:ascii="Calibri" w:hAnsi="Calibri"/>
          <w:sz w:val="20"/>
          <w:szCs w:val="20"/>
        </w:rPr>
        <w:t>Hi Steve,</w:t>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eastAsia="宋体" w:cs="Noto Sans Arabic UI" w:ascii="Calibri" w:hAnsi="Calibri"/>
          <w:sz w:val="20"/>
          <w:szCs w:val="20"/>
        </w:rPr>
        <w:t>I summarized the topographical annotations available on the COSMIC website.</w:t>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eastAsia="宋体" w:cs="Noto Sans Arabic UI" w:ascii="Calibri" w:hAnsi="Calibri"/>
          <w:sz w:val="20"/>
          <w:szCs w:val="20"/>
        </w:rPr>
        <w:t>I’ve summarized the information in the attached file.</w:t>
      </w:r>
    </w:p>
    <w:p>
      <w:pPr>
        <w:overflowPunct w:val="true"/>
        <w:spacing w:lineRule="auto" w:line="240" w:before="1307" w:after="1087"/>
        <w:rPr/>
      </w:pPr>
      <w:r>
        <w:rPr>
          <w:rFonts w:eastAsia="宋体" w:cs="Noto Sans Arabic UI" w:ascii="Calibri" w:hAnsi="Calibri"/>
          <w:sz w:val="20"/>
          <w:szCs w:val="20"/>
        </w:rPr>
        <w:t>Please let me know if you need more information.</w:t>
      </w:r>
    </w:p>
    <w:p>
      <w:pPr>
        <w:overflowPunct w:val="true"/>
        <w:spacing w:lineRule="auto" w:line="240" w:before="1307" w:after="1087"/>
        <w:rPr/>
      </w:pPr>
      <w:r>
        <w:rPr>
          <w:rFonts w:eastAsia="宋体" w:cs="Noto Sans Arabic UI" w:ascii="Calibri" w:hAnsi="Calibri"/>
          <w:sz w:val="20"/>
          <w:szCs w:val="20"/>
        </w:rPr>
        <w:t>Thanks,Mo</w:t>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eastAsia="宋体" w:cs="Noto Sans Arabic UI" w:ascii="Calibri" w:hAnsi="Calibri"/>
          <w:sz w:val="20"/>
          <w:szCs w:val="20"/>
        </w:rPr>
        <w:t>See COSMICv3.6 ID topographical annotation.xlsx</w:t>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pPr>
        <w:overflowPunct w:val="true"/>
        <w:spacing w:lineRule="auto" w:line="240" w:before="1307" w:after="1087"/>
        <w:rPr/>
      </w:pPr>
      <w:r>
        <w:rPr>
          <w:rFonts w:cs="Noto Sans Arabic UI" w:eastAsia="宋体" w:ascii="Calibri" w:hAnsi="Calibri"/>
          <w:sz w:val="22"/>
          <w:szCs w:val="22"/>
        </w:rPr>
      </w:r>
    </w:p>
    <w:p w14:paraId="06000000">
      <w:pPr>
        <w:overflowPunct w:val="true"/>
        <w:spacing w:lineRule="auto" w:line="240" w:before="1307" w:after="1087"/>
        <w:rPr/>
      </w:pPr>
      <w:r>
        <w:rPr>
          <w:rFonts w:cs="Noto Sans Arabic UI" w:eastAsia="宋体"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5000000" w15:paraIdParent="03000000"/>
  <w15:commentEx w15:paraId="06000000" w15:paraIdParent="03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2"/>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w:altName w:val="Roboto"/>
    <w:charset w:val="01" w:characterSet="utf-8"/>
    <w:family w:val="roman"/>
    <w:pitch w:val="variable"/>
  </w:font>
  <w:font w:name="DejaVu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118</TotalTime>
  <Application>LibreOffice/26.2.4.2$Linux_X86_64 LibreOffice_project/620$Build-2</Application>
  <AppVersion>15.0000</AppVersion>
  <Pages>40</Pages>
  <Words>9515</Words>
  <Characters>56950</Characters>
  <CharactersWithSpaces>66120</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2026-07-14T05:12:00Z</dcterms:created>
  <dc:creator>Mo Liu</dc:creator>
  <dc:description/>
  <dc:language>en-US</dc:language>
  <cp:lastModifiedBy/>
  <cp:lastPrinted>2025-06-06T09:23:00Z</cp:lastPrinted>
  <dcterms:modified xsi:type="dcterms:W3CDTF">2026-07-16T18:10:54Z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