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Times New Roman"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Heading1"/>
        <w:spacing w:before="0" w:after="120"/>
        <w:rPr>
          <w:rFonts w:ascii="Google Sans;Roboto;Arial;sans-s" w:hAnsi="Google Sans;Roboto;Arial;sans-s" w:eastAsia="Times New Roman"/>
          <w:sz w:val="20"/>
          <w:szCs w:val="20"/>
        </w:rPr>
      </w:pPr>
      <w:r>
        <w:rPr>
          <w:rFonts w:eastAsia="Times New Roman" w:ascii="Google Sans;Roboto;Arial;sans-s" w:hAnsi="Google Sans;Roboto;Arial;sans-s"/>
          <w:sz w:val="20"/>
          <w:szCs w:val="20"/>
        </w:rPr>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Times New Roman"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Times New Roman"/>
          <w:b/>
          <w:bCs/>
        </w:rPr>
      </w:pPr>
      <w:r>
        <w:rPr>
          <w:rFonts w:eastAsia="Times New Roman" w:hint="eastAsia"/>
          <w:b/>
          <w:bCs/>
        </w:rPr>
        <w:t>Graphical Abstract</w:t>
      </w:r>
    </w:p>
    <w:p>
      <w:pPr>
        <w:pStyle w:val="Normal"/>
        <w:spacing w:lineRule="auto" w:line="360" w:before="0" w:after="0"/>
        <w:ind w:hanging="0"/>
        <w:rPr>
          <w:rFonts w:eastAsia="Times New Roman"/>
          <w:b/>
          <w:bCs/>
        </w:rPr>
      </w:pPr>
      <w:r>
        <w:rPr/>
        <w:drawing>
          <wp:inline distT="0" distB="0" distL="0" distR="0">
            <wp:extent cx="5938520" cy="6414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38520" cy="6414135"/>
                    </a:xfrm>
                    <a:prstGeom prst="rect">
                      <a:avLst/>
                    </a:prstGeom>
                    <a:noFill/>
                  </pic:spPr>
                </pic:pic>
              </a:graphicData>
            </a:graphic>
          </wp:inline>
        </w:drawing>
      </w:r>
    </w:p>
    <w:p>
      <w:pPr>
        <w:pStyle w:val="Normal"/>
        <w:spacing w:lineRule="auto" w:line="360" w:before="0" w:after="0"/>
        <w:ind w:hanging="0"/>
        <w:rPr>
          <w:rFonts w:eastAsia="Times New Roman"/>
          <w:b/>
          <w:bCs/>
        </w:rPr>
      </w:pPr>
      <w:r>
        <w:rPr>
          <w:rFonts w:eastAsia="Times New Roman"/>
          <w:b/>
          <w:bCs/>
        </w:rPr>
        <w:t>Highlights</w:t>
      </w:r>
    </w:p>
    <w:p>
      <w:pPr>
        <w:pStyle w:val="Normal"/>
        <w:numPr>
          <w:ilvl w:val="0"/>
          <w:numId w:val="3"/>
        </w:numPr>
        <w:spacing w:lineRule="auto" w:line="360" w:before="0" w:after="0"/>
        <w:rPr>
          <w:rFonts w:eastAsia="Times New Roman"/>
        </w:rPr>
      </w:pPr>
      <w:r>
        <w:rPr>
          <w:rFonts w:eastAsia="Times New Roman"/>
        </w:rPr>
        <w:t>Repertoire of indel signatures across 6,975 genomes in 3 indel classification schemes</w:t>
      </w:r>
    </w:p>
    <w:p>
      <w:pPr>
        <w:pStyle w:val="Normal"/>
        <w:numPr>
          <w:ilvl w:val="0"/>
          <w:numId w:val="3"/>
        </w:numPr>
        <w:spacing w:lineRule="auto" w:line="360" w:before="0" w:after="0"/>
        <w:rPr>
          <w:rFonts w:eastAsia="Times New Roman"/>
        </w:rPr>
      </w:pPr>
      <w:r>
        <w:rPr>
          <w:rFonts w:eastAsia="Times New Roman"/>
        </w:rPr>
        <w:t>Identified 26 novel 89-type and 1</w:t>
      </w:r>
      <w:r>
        <w:rPr>
          <w:rFonts w:eastAsia="Times New Roman" w:hint="eastAsia"/>
        </w:rPr>
        <w:t>1</w:t>
      </w:r>
      <w:r>
        <w:rPr>
          <w:rFonts w:eastAsia="Times New Roman"/>
        </w:rPr>
        <w:t xml:space="preserve"> novel 83-type classification indel signatures</w:t>
      </w:r>
    </w:p>
    <w:p>
      <w:pPr>
        <w:pStyle w:val="Normal"/>
        <w:numPr>
          <w:ilvl w:val="0"/>
          <w:numId w:val="3"/>
        </w:numPr>
        <w:spacing w:lineRule="auto" w:line="360" w:before="0" w:after="0"/>
        <w:rPr>
          <w:rFonts w:eastAsia="Times New Roman"/>
        </w:rPr>
      </w:pPr>
      <w:r>
        <w:rPr>
          <w:rFonts w:eastAsia="Times New Roman"/>
        </w:rPr>
        <w:t>Integrative topography across transcription, replication, and genic regions</w:t>
      </w:r>
    </w:p>
    <w:p>
      <w:pPr>
        <w:pStyle w:val="Normal"/>
        <w:numPr>
          <w:ilvl w:val="0"/>
          <w:numId w:val="3"/>
        </w:numPr>
        <w:spacing w:lineRule="auto" w:line="360" w:before="0" w:after="0"/>
        <w:rPr>
          <w:rFonts w:eastAsia="Times New Roman"/>
        </w:rPr>
      </w:pPr>
      <w:r>
        <w:rPr>
          <w:rFonts w:eastAsia="Times New Roman"/>
        </w:rPr>
        <w:t>Website and software for signature browsing and matrix generation from VCF files</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Mutational signature research has tended to focus less on indel rather than SBS signatures, and symptomatic of this COSMIC v3.</w:t>
      </w:r>
      <w:r>
        <w:rPr>
          <w:rFonts w:eastAsia="Times New Roman" w:hint="eastAsia"/>
        </w:rPr>
        <w:t>6</w:t>
      </w:r>
      <w:r>
        <w:rP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Times New Roman" w:hint="eastAsia"/>
        </w:rPr>
        <w:t xml:space="preserve"> </w:t>
      </w:r>
      <w:r>
        <w:rPr>
          <w:rFonts w:eastAsia="Times New Roman" w:hint="eastAsia"/>
          <w:shd w:fill="00FFFF" w:val="clear"/>
        </w:rPr>
        <w:t>(</w:t>
      </w:r>
      <w:r>
        <w:rPr>
          <w:rFonts w:eastAsia="Times New Roman"/>
          <w:shd w:fill="00FFFF" w:val="clear"/>
        </w:rPr>
        <w:t>https://indelsig.net</w:t>
      </w:r>
      <w:r>
        <w:rPr>
          <w:rFonts w:eastAsia="Times New Roman"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Times New Roman"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00FF00" w:val="clear"/>
        </w:rPr>
        <w:t>)</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Times New Roman" w:hint="eastAsia"/>
        </w:rPr>
        <w:t>y</w:t>
      </w:r>
      <w:r>
        <w:rPr/>
        <w:t xml:space="preserve"> were discovered. Further evidence of their robustness derives from the identification of tumor spectra dominated by a single signature. For</w:t>
      </w:r>
      <w:r>
        <w:rPr>
          <w:rFonts w:eastAsia="Times New Roman" w:hint="eastAsia"/>
        </w:rPr>
        <w:t xml:space="preserve"> 35 </w:t>
      </w:r>
      <w:r>
        <w:rPr/>
        <w:t>of the 44 signatures, there were tumor spectra with cosine similarity &gt;</w:t>
      </w:r>
      <w:r>
        <w:rPr>
          <w:rFonts w:eastAsia="Times New Roman" w:hint="eastAsia"/>
        </w:rPr>
        <w:t xml:space="preserve"> 0.95 </w:t>
      </w:r>
      <w:r>
        <w:rP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rPr/>
        <w:t>(Koh et al. 2025)</w:t>
      </w:r>
      <w:bookmarkEnd w:id="14"/>
      <w:r>
        <w:rPr/>
        <w:t xml:space="preserve"> and 26 were not previously described to our knowlege (Table 1).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rPr>
          <w:shd w:fill="FF0000" w:val="clear"/>
        </w:rPr>
        <w:t>(Jin et al. 2024b)</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Times New Roman"/>
          <w:shd w:fill="00FFFF" w:val="clear"/>
        </w:rPr>
        <w:t>https://indelsig.net/</w:t>
      </w:r>
      <w:r>
        <w:rPr>
          <w:shd w:fill="00FFFF" w:val="clear"/>
        </w:rPr>
        <w:t>.</w:t>
      </w:r>
    </w:p>
    <w:p>
      <w:pPr>
        <w:pStyle w:val="normalfirst"/>
        <w:ind w:firstLine="720"/>
        <w:rPr/>
      </w:pPr>
      <w:r>
        <w:rPr/>
        <w:t xml:space="preserve">In several cases, the new indel classifications systems were able to distinguish signatures that the older system merged. This is clearest for deletions of single T bases from tracts of </w:t>
      </w:r>
      <w:r>
        <w:rPr>
          <w:rFonts w:eastAsia="Liberation Serif" w:cs="Liberation Serif" w:ascii="Liberation Serif" w:hAnsi="Liberation Serif"/>
        </w:rPr>
        <w:t>≥</w:t>
      </w:r>
      <w:r>
        <w:rP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eastAsia="Liberation Serif" w:cs="Liberation Serif" w:ascii="Liberation Serif" w:hAnsi="Liberation Serif"/>
        </w:rPr>
        <w:t>≥ 8 Ts. However, they are distinguished by InsDel2a’s preference for flanking A bases and InsDel1c’s preference for flanking C bases.</w:t>
      </w:r>
      <w:r>
        <w:rP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shd w:fill="00FFFF" w:val="clear"/>
        </w:rPr>
        <w:t>(Figure 4, Figure S1).</w:t>
      </w:r>
    </w:p>
    <w:p>
      <w:pPr>
        <w:pStyle w:val="normalfirst"/>
        <w:ind w:firstLine="720"/>
        <w:rPr/>
      </w:pPr>
      <w:r>
        <w:rP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fill="00FFFF" w:val="clear"/>
        </w:rPr>
        <w:t xml:space="preserve">(Table S9; </w:t>
      </w:r>
      <w:r>
        <w:rPr>
          <w:shd w:fill="FF0000" w:val="clear"/>
        </w:rPr>
        <w:t>possibly remove some of the sheets from table S9)</w:t>
      </w:r>
      <w:r>
        <w:rPr/>
        <w:t>.</w:t>
      </w:r>
    </w:p>
    <w:p>
      <w:pPr>
        <w:pStyle w:val="normalfirst"/>
        <w:rPr/>
      </w:pPr>
      <w:r>
        <w:rPr>
          <w:rFonts w:eastAsia="Times New Roman" w:hint="eastAsia"/>
          <w:b/>
          <w:bCs/>
          <w:i/>
          <w:iCs/>
        </w:rPr>
        <w:t>Two cases where the 89-type classification misses clear differences.</w:t>
      </w:r>
      <w:r>
        <w:rPr>
          <w:rFonts w:eastAsia="Times New Roman" w:hint="eastAsia"/>
          <w:b/>
          <w:bCs/>
        </w:rPr>
        <w:t xml:space="preserve"> </w:t>
      </w:r>
      <w:r>
        <w:rPr>
          <w:rFonts w:eastAsia="Times New Roman" w:hint="eastAsia"/>
        </w:rPr>
        <w:t xml:space="preserve">While the 89-type classification system on the whole better discriminates signatures, in two cases the 83-type and 476 type systems clearly differentiated signatures that were almost </w:t>
      </w:r>
      <w:r>
        <w:rPr>
          <w:rFonts w:eastAsia="Times New Roman"/>
        </w:rPr>
        <w:t>identical to</w:t>
      </w:r>
      <w:r>
        <w:rPr>
          <w:rFonts w:eastAsia="Times New Roman" w:hint="eastAsia"/>
        </w:rPr>
        <w:t xml:space="preserve"> the 89-type system. One case consisted of InsDel13 and InsDel</w:t>
      </w:r>
      <w:r>
        <w:rPr>
          <w:rFonts w:eastAsia="Times New Roman"/>
        </w:rPr>
        <w:t>_</w:t>
      </w:r>
      <w:r>
        <w:rPr>
          <w:rFonts w:eastAsia="Times New Roman" w:hint="eastAsia"/>
        </w:rPr>
        <w:t>C. These are nearly identical in the 89-type system, which groups deletions of single Ts in stretches of 1, 2, 3, or 4 Ts as a single deletion type. However the 83 and 476 type systems show that InsDel</w:t>
      </w:r>
      <w:r>
        <w:rPr>
          <w:rFonts w:eastAsia="Times New Roman"/>
        </w:rPr>
        <w:t>_</w:t>
      </w:r>
      <w:r>
        <w:rPr>
          <w:rFonts w:eastAsia="Times New Roman" w:hint="eastAsia"/>
        </w:rPr>
        <w:t>C has deletions of 1 T from ATA (ATA</w:t>
      </w:r>
      <w:r>
        <w:rPr>
          <w:rFonts w:cs="DejaVu Sans" w:hint="eastAsia" w:ascii="DejaVu Sans" w:hAnsi="DejaVu Sans"/>
        </w:rPr>
        <w:t>→</w:t>
      </w:r>
      <w:r>
        <w:rPr>
          <w:rFonts w:eastAsia="Times New Roman" w:hint="eastAsia"/>
        </w:rPr>
        <w:t>AA), while InsDel13 has deletions of T from ATTA (ATTA</w:t>
      </w:r>
      <w:r>
        <w:rPr>
          <w:rFonts w:cs="DejaVu Sans" w:hint="eastAsia" w:ascii="DejaVu Sans" w:hAnsi="DejaVu Sans"/>
        </w:rPr>
        <w:t>→</w:t>
      </w:r>
      <w:r>
        <w:rPr>
          <w:rFonts w:eastAsia="Times New Roman" w:hint="eastAsia"/>
        </w:rPr>
        <w:t>ATA,</w:t>
      </w:r>
      <w:r>
        <w:rPr>
          <w:rFonts w:eastAsia="Times New Roman" w:hint="eastAsia"/>
          <w:shd w:fill="00FFFF" w:val="clear"/>
        </w:rPr>
        <w:t xml:space="preserve"> Figure S2A)</w:t>
      </w:r>
      <w:r>
        <w:rPr/>
        <w:t>.</w:t>
      </w:r>
      <w:r>
        <w:rPr>
          <w:rFonts w:eastAsia="Times New Roman"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Times New Roman" w:hint="eastAsia"/>
        </w:rPr>
        <w:t>ACCG) and insertion of a one T next to an isolated T (e.g. GTG</w:t>
      </w:r>
      <w:r>
        <w:rPr>
          <w:rFonts w:cs="DejaVu Sans" w:hint="eastAsia" w:ascii="DejaVu Sans" w:hAnsi="DejaVu Sans"/>
        </w:rPr>
        <w:t>→</w:t>
      </w:r>
      <w:r>
        <w:rPr>
          <w:rFonts w:eastAsia="Times New Roman" w:hint="eastAsia"/>
        </w:rPr>
        <w:t>GTTG). InsDel16 has insertion of one C between non-Cs (e.g. AT</w:t>
      </w:r>
      <w:r>
        <w:rPr>
          <w:rFonts w:cs="DejaVu Sans" w:hint="eastAsia" w:ascii="DejaVu Sans" w:hAnsi="DejaVu Sans"/>
        </w:rPr>
        <w:t>→</w:t>
      </w:r>
      <w:r>
        <w:rPr>
          <w:rFonts w:eastAsia="Times New Roman" w:hint="eastAsia"/>
        </w:rPr>
        <w:t>ACT), and insertion of one T between non-Ts (e.g. AG</w:t>
      </w:r>
      <w:r>
        <w:rPr>
          <w:rFonts w:cs="DejaVu Sans" w:hint="eastAsia" w:ascii="DejaVu Sans" w:hAnsi="DejaVu Sans"/>
        </w:rPr>
        <w:t>→</w:t>
      </w:r>
      <w:r>
        <w:rPr>
          <w:rFonts w:eastAsia="Times New Roman" w:hint="eastAsia"/>
        </w:rPr>
        <w:t xml:space="preserve">ATG, </w:t>
      </w:r>
      <w:r>
        <w:rPr>
          <w:rFonts w:eastAsia="Times New Roman" w:hint="eastAsia"/>
          <w:shd w:fill="00FFFF" w:val="clear"/>
        </w:rPr>
        <w:t>Figure S2B</w:t>
      </w:r>
      <w:r>
        <w:rPr/>
        <w:t xml:space="preserve">). Again, </w:t>
      </w:r>
      <w:r>
        <w:rPr>
          <w:rFonts w:eastAsia="Times New Roman"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Web"/>
        <w:rPr/>
      </w:pPr>
      <w:r>
        <w:rPr>
          <w:rFonts w:eastAsia="Times New Roman"/>
          <w:b/>
          <w:bCs/>
          <w:i/>
          <w:iCs/>
        </w:rPr>
        <w:t>APOBEC3A activity and InsDel_Aβ</w:t>
      </w:r>
      <w:r>
        <w:rPr>
          <w:rFonts w:eastAsia="Times New Roman" w:hint="eastAsia"/>
          <w:b/>
          <w:bCs/>
          <w:i/>
          <w:iCs/>
        </w:rPr>
        <w:t xml:space="preserve">. </w:t>
      </w:r>
      <w:r>
        <w:rPr>
          <w:rFonts w:eastAsia="Times New Roman"/>
        </w:rPr>
        <w:t>We identified InsDel_Aβ, an indel signature that in the 476-type classification consists primarily of 1 bp C deletions TCA</w:t>
      </w:r>
      <w:r>
        <w:rPr>
          <w:rFonts w:hint="eastAsia"/>
        </w:rPr>
        <w:t>→</w:t>
      </w:r>
      <w:r>
        <w:rPr>
          <w:rFonts w:eastAsia="Times New Roman"/>
        </w:rPr>
        <w:t>TA and TCT</w:t>
      </w:r>
      <w:r>
        <w:rPr>
          <w:rFonts w:hint="eastAsia"/>
        </w:rPr>
        <w:t>→</w:t>
      </w:r>
      <w:r>
        <w:rPr>
          <w:rFonts w:eastAsia="Times New Roman"/>
        </w:rPr>
        <w:t>TT deletions</w:t>
      </w:r>
      <w:r>
        <w:rPr>
          <w:rFonts w:eastAsia="Times New Roman" w:hint="eastAsia"/>
        </w:rPr>
        <w:t xml:space="preserve"> (</w:t>
      </w:r>
      <w:r>
        <w:rPr>
          <w:rFonts w:eastAsia="Times New Roman" w:hint="eastAsia"/>
          <w:shd w:fill="00FFFF" w:val="clear"/>
        </w:rPr>
        <w:t>F</w:t>
      </w:r>
      <w:r>
        <w:rPr>
          <w:rFonts w:eastAsia="Times New Roman"/>
          <w:shd w:fill="00FFFF" w:val="clear"/>
        </w:rPr>
        <w:t>i</w:t>
      </w:r>
      <w:r>
        <w:rPr>
          <w:rFonts w:eastAsia="Times New Roman" w:hint="eastAsia"/>
          <w:shd w:fill="00FFFF" w:val="clear"/>
        </w:rPr>
        <w:t>gure S2C</w:t>
      </w:r>
      <w:r>
        <w:rPr>
          <w:rFonts w:eastAsia="Times New Roman" w:hint="eastAsia"/>
        </w:rPr>
        <w:t>, right sub-panel</w:t>
      </w:r>
      <w:r>
        <w:rPr>
          <w:rFonts w:eastAsia="Times New Roman"/>
        </w:rPr>
        <w:t xml:space="preserve">). Thus, InsDel_Aβ targets the same sequences as the canonical APOBEC SBS signatures SBS2 </w:t>
      </w:r>
      <w:r>
        <w:rPr>
          <w:rFonts w:eastAsia="Times New Roman" w:hint="eastAsia"/>
        </w:rPr>
        <w:t>(TCA</w:t>
      </w:r>
      <w:r>
        <w:rPr>
          <w:rFonts w:hint="eastAsia"/>
        </w:rPr>
        <w:t>→</w:t>
      </w:r>
      <w:r>
        <w:rPr>
          <w:rFonts w:eastAsia="Times New Roman" w:hint="eastAsia"/>
        </w:rPr>
        <w:t>TTA and TCT</w:t>
      </w:r>
      <w:r>
        <w:rPr>
          <w:rFonts w:cs="DejaVu Sans" w:hint="eastAsia" w:ascii="DejaVu Sans" w:hAnsi="DejaVu Sans"/>
        </w:rPr>
        <w:t>→</w:t>
      </w:r>
      <w:r>
        <w:rPr>
          <w:rFonts w:eastAsia="Times New Roman" w:hint="eastAsia"/>
        </w:rPr>
        <w:t>TTT)</w:t>
      </w:r>
      <w:r>
        <w:rPr>
          <w:rFonts w:eastAsia="Times New Roman"/>
        </w:rPr>
        <w:t xml:space="preserve"> and SBS13 </w:t>
      </w:r>
      <w:r>
        <w:rPr>
          <w:rFonts w:eastAsia="Times New Roman" w:hint="eastAsia"/>
        </w:rPr>
        <w:t>(TCA</w:t>
      </w:r>
      <w:r>
        <w:rPr>
          <w:rFonts w:cs="DejaVu Sans" w:hint="eastAsia" w:ascii="DejaVu Sans" w:hAnsi="DejaVu Sans"/>
        </w:rPr>
        <w:t>→</w:t>
      </w:r>
      <w:r>
        <w:rPr>
          <w:rFonts w:eastAsia="Times New Roman" w:hint="eastAsia"/>
        </w:rPr>
        <w:t>TGA and TCT</w:t>
      </w:r>
      <w:r>
        <w:rPr>
          <w:rFonts w:cs="DejaVu Sans" w:hint="eastAsia" w:ascii="DejaVu Sans" w:hAnsi="DejaVu Sans"/>
        </w:rPr>
        <w:t>→</w:t>
      </w:r>
      <w:r>
        <w:rPr>
          <w:rFonts w:eastAsia="Times New Roman" w:hint="eastAsia"/>
        </w:rPr>
        <w:t>TGT). E</w:t>
      </w:r>
      <w:r>
        <w:rPr>
          <w:rFonts w:eastAsia="Times New Roman"/>
        </w:rPr>
        <w:t>xperiments in cell culture showed that, in addition to single nucleotide substitutions, APOBEC3A induces indels, mainly TC</w:t>
      </w:r>
      <w:r>
        <w:rPr>
          <w:rFonts w:hint="eastAsia"/>
        </w:rPr>
        <w:t>→</w:t>
      </w:r>
      <w:r>
        <w:rPr>
          <w:rFonts w:eastAsia="Times New Roman"/>
        </w:rPr>
        <w:t xml:space="preserve">T </w:t>
      </w:r>
      <w:bookmarkStart w:id="16" w:name="ZOTERO_BREF_CAdMe2IeGVl5"/>
      <w:r>
        <w:rPr>
          <w:rFonts w:eastAsia="Times New Roman"/>
        </w:rPr>
        <w:t>(DeWeerd et al. 2022)</w:t>
      </w:r>
      <w:bookmarkEnd w:id="16"/>
      <w:r>
        <w:rPr>
          <w:rFonts w:eastAsia="Times New Roman"/>
        </w:rPr>
        <w:t xml:space="preserve">. In parallel, we discovered the corresponding 83-type indel signature, ID_A, which, compared to C_ID9, is more similar to </w:t>
      </w:r>
      <w:r>
        <w:rPr>
          <w:rFonts w:eastAsia="Times New Roman" w:hint="eastAsia"/>
        </w:rPr>
        <w:t>the experimental indel spectrum in</w:t>
      </w:r>
      <w:r>
        <w:rPr>
          <w:rFonts w:eastAsia="Times New Roman"/>
        </w:rPr>
        <w:t xml:space="preserve"> </w:t>
      </w:r>
      <w:bookmarkStart w:id="17" w:name="ZOTERO_BREF_PIzfJaCA5fo2"/>
      <w:r>
        <w:rPr>
          <w:rFonts w:eastAsia="Times New Roman"/>
        </w:rPr>
        <w:t>(DeWeerd et al. 2022)</w:t>
      </w:r>
      <w:bookmarkEnd w:id="17"/>
      <w:r>
        <w:rPr/>
        <w:t>.</w:t>
      </w:r>
      <w:r>
        <w:rPr>
          <w:rFonts w:eastAsia="Times New Roman" w:hint="eastAsia"/>
        </w:rPr>
        <w:t xml:space="preserve"> Notably ID9 and InsDel9 in both the 89-type and 476-type classifications have many deletions of single thymines, while </w:t>
      </w:r>
      <w:r>
        <w:rPr>
          <w:rFonts w:eastAsia="Times New Roman"/>
        </w:rPr>
        <w:t>ID_A and InsDel_Aβ in the 89-type and 476-type classifications lack these</w:t>
      </w:r>
      <w:r>
        <w:rPr>
          <w:rFonts w:eastAsia="宋体" w:hint="eastAsia"/>
        </w:rPr>
        <w:t xml:space="preserve"> </w:t>
      </w:r>
      <w:r>
        <w:rPr>
          <w:rFonts w:eastAsia="Times New Roman" w:hint="eastAsia"/>
          <w:shd w:fill="00FFFF" w:val="clear"/>
        </w:rPr>
        <w:t>(Figure S2C)</w:t>
      </w:r>
      <w:r>
        <w:rPr>
          <w:rFonts w:eastAsia="Times New Roman"/>
        </w:rPr>
        <w:t xml:space="preserve">. In addition, the InsDel9 476-type signature also has many deletions of a single C following A or G, while InsDel_Aβ has almost exclusively deletions of a single C following T.  This signature was was also noted in </w:t>
      </w:r>
      <w:bookmarkStart w:id="18" w:name="ZOTERO_BREF_EcFI6Fskdsau"/>
      <w:r>
        <w:rPr>
          <w:rFonts w:eastAsia="Times New Roman"/>
        </w:rPr>
        <w:t>(Koh et al. 2025)</w:t>
      </w:r>
      <w:bookmarkEnd w:id="18"/>
      <w:r>
        <w:rPr>
          <w:rFonts w:eastAsia="Times New Roman"/>
        </w:rPr>
        <w:t xml:space="preserve">, who denoted it InD9a; we propose that this signature is very distinct enough from InsDel9 in the 476-type classification to warrant an identifier.  </w:t>
      </w:r>
    </w:p>
    <w:p>
      <w:pPr>
        <w:pStyle w:val="normalfirst"/>
        <w:rPr>
          <w:shd w:fill="FFFF00" w:val="clear"/>
        </w:rPr>
      </w:pPr>
      <w:commentRangeStart w:id="0"/>
      <w:r>
        <w:rPr>
          <w:b/>
          <w:bCs/>
          <w:i/>
          <w:iCs/>
          <w:shd w:fill="FFFF00" w:val="clear"/>
        </w:rPr>
        <w:t xml:space="preserve">STEVE DEFINITE NEED PARAGRAPH </w:t>
      </w:r>
      <w:r>
        <w:rPr>
          <w:b/>
          <w:bCs/>
          <w:i/>
          <w:iCs/>
          <w:shd w:fill="FFFF00" w:val="clear"/>
        </w:rPr>
      </w:r>
      <w:commentRangeEnd w:id="0"/>
      <w:r>
        <w:commentReference w:id="0"/>
      </w:r>
      <w:r>
        <w:rPr>
          <w:i/>
          <w:iCs/>
          <w:shd w:fill="FFFF00" w:val="clear"/>
        </w:rPr>
        <w:t>N_beta is the new ID2</w:t>
      </w:r>
      <w:r>
        <w:rPr>
          <w:rFonts w:eastAsia="宋体" w:hint="eastAsia"/>
          <w:shd w:fill="FFFF00" w:val="clear"/>
        </w:rPr>
        <w:t xml:space="preserve">   </w:t>
      </w:r>
    </w:p>
    <w:p>
      <w:pPr>
        <w:pStyle w:val="Normal"/>
        <w:rPr>
          <w:rFonts w:eastAsia="宋体" w:hint="eastAsia"/>
          <w:shd w:fill="FFFF00" w:val="clear"/>
        </w:rPr>
      </w:pPr>
      <w:r>
        <w:rPr/>
        <w:t xml:space="preserve">We identified a novel signature, ID_N, along with its 89-type and 476-type sub-signatures, InsDel_Nα and InsDel_Nβ. </w:t>
      </w:r>
      <w:r>
        <w:rPr>
          <w:rFonts w:eastAsia="宋体" w:hint="eastAsia"/>
        </w:rPr>
        <w:t>A</w:t>
      </w:r>
      <w:r>
        <w:rPr/>
        <w:t xml:space="preserve">nalysis across our cohort revealed that InsDel_Nα is specifically linked to concurrent POLE mutations and mismatch repair deficiency (dMMR), supported by its high similarity to InD16b previously reported by Koh et al. </w:t>
      </w:r>
      <w:r>
        <w:rPr>
          <w:rFonts w:hint="eastAsia"/>
          <w:highlight w:val="cyan"/>
        </w:rPr>
        <w:t>(Table1,</w:t>
      </w:r>
      <w:r>
        <w:rPr>
          <w:rFonts w:eastAsia="宋体" w:hint="eastAsia"/>
          <w:highlight w:val="cyan"/>
        </w:rPr>
        <w:t xml:space="preserve"> S9,</w:t>
      </w:r>
      <w:r>
        <w:rPr>
          <w:rFonts w:hint="eastAsia"/>
          <w:highlight w:val="cyan"/>
        </w:rPr>
        <w:t xml:space="preserve"> citation).</w:t>
      </w:r>
      <w:r>
        <w:rPr>
          <w:rFonts w:hint="eastAsia"/>
        </w:rPr>
        <w:t xml:space="preserve"> Meanwhile</w:t>
      </w:r>
      <w:r>
        <w:rPr/>
        <w:t xml:space="preserve"> InsDel_Nβ exhibits a widespread prevalence across diverse cancer types. Historically, the canonical ID2 signature was attributed to both replication slippage and defective MMR. However, </w:t>
      </w:r>
      <w:r>
        <w:rPr>
          <w:rFonts w:eastAsia="宋体" w:hint="eastAsia"/>
        </w:rPr>
        <w:t>the analysis across all genomes in our cohort</w:t>
      </w:r>
      <w:r>
        <w:rPr/>
        <w:t xml:space="preserve"> demonstrated that 1-bp T deletions and 1-bp T insertions at poly(T) tracts (≥5 bp) consistently co-occur within microsatellite stable (MSS) tumors, indicating an intrinsic slippage mechanism operating independently of dMMR. Furthermore, our newly extracted C_ID2 signature and its three sub-signatures (InsDel2a/b/c) are exclusively enriched in microsatellite instability (MSI) tumors</w:t>
      </w:r>
      <w:r>
        <w:rPr>
          <w:rFonts w:eastAsia="宋体" w:hint="eastAsia"/>
        </w:rPr>
        <w:t xml:space="preserve"> </w:t>
      </w:r>
      <w:r>
        <w:rPr>
          <w:rFonts w:eastAsia="宋体" w:hint="eastAsia"/>
          <w:highlight w:val="cyan"/>
        </w:rPr>
        <w:t>(Figure 4)</w:t>
      </w:r>
      <w:r>
        <w:rPr/>
        <w:t>. Taken together, these findings suggest that InsDel_Nβ, rather than ID2, represents the authentic footprint of replication slippage, enabling an accurate operational distinction between intrinsic replication slippage (ID_N and InsDel_Nβ) and dMMR-associated mutational processes (C_ID2 and InsDel2a/b/c).</w:t>
      </w:r>
    </w:p>
    <w:p>
      <w:pPr>
        <w:pStyle w:val="Heading3"/>
        <w:numPr>
          <w:ilvl w:val="0"/>
          <w:numId w:val="0"/>
        </w:numPr>
        <w:ind w:hanging="0" w:start="0"/>
        <w:rPr>
          <w:i/>
          <w:iCs/>
          <w:sz w:val="24"/>
          <w:szCs w:val="24"/>
        </w:rPr>
      </w:pPr>
      <w:r>
        <w:rPr>
          <w:i/>
          <w:iCs/>
          <w:sz w:val="24"/>
          <w:szCs w:val="24"/>
        </w:rPr>
        <w:t>Associations between indel signatures and SBS signatures &lt;FOR STEVE TO REVIEW&gt;</w:t>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Times New Roman" w:hint="eastAsia"/>
          <w:shd w:fill="00FFFF" w:val="clear"/>
        </w:rPr>
        <w:t>10</w:t>
      </w:r>
      <w:r>
        <w:rPr>
          <w:rFonts w:hint="eastAsia"/>
          <w:shd w:fill="00FFFF" w:val="clear"/>
        </w:rPr>
        <w:t>, S</w:t>
      </w:r>
      <w:r>
        <w:rPr>
          <w:rFonts w:eastAsia="Times New Roman" w:hint="eastAsia"/>
          <w:shd w:fill="00FFFF" w:val="clear"/>
        </w:rPr>
        <w:t>11</w:t>
      </w:r>
      <w:r>
        <w:rPr/>
        <w:t xml:space="preserve">). Using unsupervised hierarchical clustering, we grouped mutational signatures into several distinct modules </w:t>
      </w:r>
      <w:r>
        <w:rPr>
          <w:shd w:fill="00FFFF" w:val="clear"/>
        </w:rPr>
        <w:t xml:space="preserve">(Figure </w:t>
      </w:r>
      <w:r>
        <w:rPr>
          <w:rFonts w:eastAsia="Times New Roman" w:hint="eastAsia"/>
          <w:shd w:fill="00FFFF" w:val="clear"/>
        </w:rPr>
        <w:t>4</w:t>
      </w:r>
      <w:r>
        <w:rPr>
          <w:shd w:fill="00FFFF" w:val="clear"/>
        </w:rPr>
        <w:t>)</w:t>
      </w:r>
      <w:r>
        <w:rPr/>
        <w:t>. The APOBEC-related cluster includes SBS2 and SBS13 and sho</w:t>
      </w:r>
      <w:r>
        <w:rPr>
          <w:rFonts w:eastAsia="Times New Roman" w:hint="eastAsia"/>
        </w:rPr>
        <w:t>wed</w:t>
      </w:r>
      <w:r>
        <w:rP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mutations in the proofreading domain of the polymerase epsilon (</w:t>
      </w:r>
      <w:r>
        <w:rPr>
          <w:i/>
          <w:iCs/>
        </w:rPr>
        <w:t>POLE</w:t>
      </w:r>
      <w:r>
        <w:rPr/>
        <w:t xml:space="preserve">) gene was defined by the strong links between SBS signature SBS10a and indel signature InsDel1b and InsDel_K. Additional analysis of tumor somatic mutations confirmed that these signatures are associated with dysfunctional </w:t>
      </w:r>
      <w:r>
        <w:rPr>
          <w:i/>
          <w:iCs/>
        </w:rPr>
        <w:t>POLE</w:t>
      </w:r>
      <w:r>
        <w:rPr/>
        <w:t xml:space="preserve"> proofreading plus, in some tumors, mismatch repair deficiency (</w:t>
      </w:r>
      <w:r>
        <w:rPr>
          <w:shd w:fill="00FFFF" w:val="clear"/>
        </w:rPr>
        <w:t>Table S9 &lt;double check&gt;</w:t>
      </w:r>
      <w:r>
        <w:rPr/>
        <w:t>).</w:t>
      </w:r>
    </w:p>
    <w:p>
      <w:pPr>
        <w:pStyle w:val="Normal"/>
        <w:rPr/>
      </w:pPr>
      <w:r>
        <w:rPr/>
        <w:t xml:space="preserve">Within the mismatch repair deficiency (MMR) cluster, we observed a strong network of correlations between SBS6, SBS26, SBS44, and a group of indel signatures, including C_ID2, InsDel2b, InsDel2c, InsDel7, InsDel_D, and InsDel_J (Figure </w:t>
      </w:r>
      <w:r>
        <w:rPr>
          <w:rFonts w:eastAsia="Times New Roman" w:hint="eastAsia"/>
        </w:rPr>
        <w:t>4</w:t>
      </w:r>
      <w:r>
        <w:rPr/>
        <w:t>,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 xml:space="preserve">The 89-type taxonomy also allowed us to better resolve the relationships within previously broader categories. For instance, the three signatures derived from C_ID1 (InsDel1a, InsDel1b, and InsDel1c) each showed distinct correlation patterns. </w:t>
      </w:r>
      <w:r>
        <w:rPr>
          <w:shd w:fill="FFFF00" w:val="clear"/>
        </w:rPr>
        <w:t>&lt;bring this up earlier or not &gt;</w:t>
      </w:r>
      <w:r>
        <w:rPr/>
        <w:t xml:space="preserve"> InsDel1a closely recapitulated the correlation profile of the original C_ID1, and frequently co-occurred with SBS88, SBS17, and SBS93, which are prominent in the </w:t>
      </w:r>
      <w:r>
        <w:rPr>
          <w:shd w:fill="FFFF00" w:val="clear"/>
        </w:rPr>
        <w:t xml:space="preserve">GI enriched </w:t>
      </w:r>
      <w:r>
        <w:rPr/>
        <w:t>cluster associated with gastrointestinal and reactive oxygen species-related mutagenesis. In contrast, InsDel1b was linked to POLE proofreading errors, while InsDel1c was more frequently associated with liver cancer signatures.</w:t>
      </w:r>
    </w:p>
    <w:p>
      <w:pPr>
        <w:pStyle w:val="Normal"/>
        <w:rPr/>
      </w:pPr>
      <w:r>
        <w:rP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w:t>
      </w:r>
      <w:r>
        <w:rPr>
          <w:rFonts w:eastAsia="Times New Roman" w:hint="eastAsia"/>
        </w:rPr>
        <w:t>4</w:t>
      </w:r>
      <w:r>
        <w:rPr/>
        <w:t xml:space="preserve">, “Lung Tobacco Smoking”). </w:t>
      </w:r>
      <w:r>
        <w:rPr>
          <w:shd w:fill="FFFF00" w:val="clear"/>
        </w:rPr>
        <w:t xml:space="preserve">&lt;add cisplatin here&gt; </w:t>
      </w:r>
      <w:r>
        <w:rPr/>
        <w:t xml:space="preserve">In the gastrointestinal (GI)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Times New Roman" w:hint="eastAsia"/>
        </w:rPr>
        <w:t>4</w:t>
      </w:r>
      <w:r>
        <w:rPr/>
        <w:t xml:space="preserve">). </w:t>
      </w:r>
    </w:p>
    <w:p>
      <w:pPr>
        <w:pStyle w:val="Heading2"/>
        <w:rPr/>
      </w:pPr>
      <w:r>
        <w:rPr>
          <w:rFonts w:hint="eastAsia"/>
        </w:rPr>
        <w:t>Topography of indel mutational signatures &lt;</w:t>
      </w:r>
      <w:r>
        <w:rPr>
          <w:rFonts w:hint="eastAsia"/>
          <w:shd w:fill="FF0000" w:val="clear"/>
        </w:rPr>
        <w:t>STEVE REVIEW</w:t>
      </w:r>
      <w:r>
        <w:rPr>
          <w:rFonts w:hint="eastAsia"/>
        </w:rPr>
        <w:t>&gt;</w:t>
      </w:r>
    </w:p>
    <w:p>
      <w:pPr>
        <w:pStyle w:val="Normal"/>
        <w:ind w:hanging="0"/>
        <w:rPr>
          <w:rFonts w:eastAsia="Times New Roman"/>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fill="00FFFF" w:val="clear"/>
        </w:rPr>
        <w:t>Figure S3</w:t>
      </w:r>
      <w:r>
        <w:rPr>
          <w:rFonts w:eastAsia="宋体" w:hint="eastAsia"/>
          <w:shd w:fill="00FFFF" w:val="clear"/>
        </w:rPr>
        <w:t>A</w:t>
      </w:r>
      <w:r>
        <w:rPr>
          <w:rFonts w:eastAsia="Times New Roman"/>
          <w:shd w:fill="00FFFF" w:val="clear"/>
        </w:rPr>
        <w:t xml:space="preserve">, Table </w:t>
      </w:r>
      <w:r>
        <w:rPr>
          <w:rFonts w:eastAsia="Times New Roman" w:hint="eastAsia"/>
          <w:shd w:fill="00FFFF" w:val="clear"/>
        </w:rPr>
        <w:t>S12</w:t>
      </w:r>
      <w:r>
        <w:rPr>
          <w:rFonts w:eastAsia="Times New Roman"/>
        </w:rPr>
        <w:t>). Signature</w:t>
      </w:r>
      <w:r>
        <w:rPr/>
        <w:t xml:space="preserv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Times New Roman" w:hint="eastAsia"/>
        </w:rPr>
        <w:t>ID_F</w:t>
      </w:r>
      <w:r>
        <w:rPr/>
        <w:t xml:space="preserve"> (topoisomerase-1 </w:t>
      </w:r>
      <w:r>
        <w:rPr>
          <w:rFonts w:eastAsia="Times New Roman" w:hint="eastAsia"/>
        </w:rPr>
        <w:t>[</w:t>
      </w:r>
      <w:r>
        <w:rPr/>
        <w:t>TOP1</w:t>
      </w:r>
      <w:r>
        <w:rPr>
          <w:rFonts w:eastAsia="Times New Roman" w:hint="eastAsia"/>
        </w:rPr>
        <w:t>]</w:t>
      </w:r>
      <w:r>
        <w:rPr/>
        <w:t xml:space="preserve"> associated mutagenesis stemming from RNase H2 deficiency). Interestingly, 3 defective MMR signatures also showed transcription strand asymmetries in different directions, with two of them (C_ID7 and </w:t>
      </w:r>
      <w:r>
        <w:rPr>
          <w:rFonts w:eastAsia="Times New Roman" w:hint="eastAsia"/>
        </w:rPr>
        <w:t>ID_K</w:t>
      </w:r>
      <w:r>
        <w:rPr/>
        <w:t>) having enriched mutations on the transcribed strand, and one of them (</w:t>
      </w:r>
      <w:r>
        <w:rPr>
          <w:rFonts w:eastAsia="Times New Roman" w:hint="eastAsia"/>
        </w:rPr>
        <w:t>ID_N</w:t>
      </w:r>
      <w:r>
        <w:rPr/>
        <w:t>) having enriched mutations mainly on the un-transcribed strand. Replication strand asymmetries were observed in 12 out of 33 83</w:t>
      </w:r>
      <w:r>
        <w:rPr>
          <w:rFonts w:hint="eastAsia"/>
        </w:rPr>
        <w:t>-</w:t>
      </w:r>
      <w:r>
        <w:rPr/>
        <w:t>type signatures (Fig</w:t>
      </w:r>
      <w:r>
        <w:rPr>
          <w:rFonts w:eastAsia="Times New Roman"/>
        </w:rPr>
        <w:t xml:space="preserve">ure </w:t>
      </w:r>
      <w:r>
        <w:rPr>
          <w:rFonts w:eastAsia="Times New Roman" w:hint="eastAsia"/>
        </w:rPr>
        <w:t xml:space="preserve">5B, </w:t>
      </w:r>
      <w:r>
        <w:rPr>
          <w:rFonts w:eastAsia="Times New Roman" w:hint="eastAsia"/>
          <w:shd w:fill="00FFFF" w:val="clear"/>
        </w:rPr>
        <w:t>Figure S3B</w:t>
      </w:r>
      <w:r>
        <w:rPr>
          <w:rFonts w:eastAsia="Times New Roman"/>
          <w:shd w:fill="00FFFF" w:val="clear"/>
        </w:rPr>
        <w:t xml:space="preserve">, Table </w:t>
      </w:r>
      <w:r>
        <w:rPr>
          <w:rFonts w:eastAsia="Times New Roman" w:hint="eastAsia"/>
          <w:shd w:fill="00FFFF" w:val="clear"/>
        </w:rPr>
        <w:t>S12</w:t>
      </w:r>
      <w:r>
        <w:rPr>
          <w:rFonts w:eastAsia="Times New Roman"/>
        </w:rPr>
        <w:t>). A</w:t>
      </w:r>
      <w:r>
        <w:rPr/>
        <w:t xml:space="preserve">nalogous to transcription strand asymmetries, the majority of signatures attributable to exogenous mutagenic exposures or defective endogenous repair processes exhibited pronounced replication strand bias, manifesting preferentially on either the leading or lagging strand. Notably, </w:t>
      </w:r>
      <w:r>
        <w:rPr>
          <w:rFonts w:eastAsia="Times New Roman" w:hint="eastAsia"/>
        </w:rPr>
        <w:t>3</w:t>
      </w:r>
      <w:r>
        <w:rPr/>
        <w:t xml:space="preserve"> </w:t>
      </w:r>
      <w:r>
        <w:rPr>
          <w:rFonts w:eastAsia="Times New Roman" w:hint="eastAsia"/>
        </w:rPr>
        <w:t>defective MMR</w:t>
      </w:r>
      <w:r>
        <w:rPr/>
        <w:t xml:space="preserve"> signatures displayed distinct replication strand asymmetries, where ID_K was enriched predominantly on the leading strand, whereas C_ID7 and ID_N showed preferential enrichment on the lagging strand. </w:t>
      </w:r>
      <w:commentRangeStart w:id="1"/>
      <w:r>
        <w:rPr/>
        <w:t>The leading-strand bias observed for ID_K is consistent with that of SBS10a and SBS10b, two substitution signatures driven by POLE exonuclease domain mutations, further supporting a mechanistic link between replication fidelity defects and leading-strand mutagenesis.</w:t>
      </w:r>
      <w:commentRangeEnd w:id="1"/>
      <w:r>
        <w:commentReference w:id="1"/>
      </w:r>
      <w:r>
        <w:rPr/>
      </w:r>
    </w:p>
    <w:p>
      <w:pPr>
        <w:pStyle w:val="Normal"/>
        <w:rPr/>
      </w:pPr>
      <w:r>
        <w:rPr/>
        <w:t>We also examined the mutation enrichment of 83-type signatures in genic and intergenic regions</w:t>
      </w:r>
      <w:r>
        <w:rPr>
          <w:rFonts w:hint="eastAsia"/>
        </w:rPr>
        <w:t xml:space="preserve"> </w:t>
      </w:r>
      <w:r>
        <w:rPr>
          <w:rFonts w:hint="eastAsia"/>
          <w:shd w:fill="00FFFF" w:val="clear"/>
        </w:rPr>
        <w:t>(Figure S3</w:t>
      </w:r>
      <w:r>
        <w:rPr>
          <w:rFonts w:eastAsia="宋体" w:hint="eastAsia"/>
          <w:shd w:fill="00FFFF" w:val="clear"/>
        </w:rPr>
        <w:t>C</w:t>
      </w:r>
      <w:r>
        <w:rPr>
          <w:rFonts w:hint="eastAsia"/>
          <w:shd w:fill="00FFFF" w:val="clear"/>
        </w:rPr>
        <w:t>)</w:t>
      </w:r>
      <w:r>
        <w:rPr>
          <w:shd w:fill="00FFFF" w:val="clear"/>
        </w:rPr>
        <w:t>.</w:t>
      </w:r>
      <w:r>
        <w:rPr/>
        <w:t xml:space="preserve"> Most signatures showed mutation bias towards intergenic regions, while 6 signatures showed enrichment in genic regions</w:t>
      </w:r>
      <w:r>
        <w:rPr>
          <w:rFonts w:hint="eastAsia"/>
        </w:rPr>
        <w:t xml:space="preserve"> (</w:t>
      </w:r>
      <w:r>
        <w:rPr/>
        <w:t xml:space="preserve">Figure </w:t>
      </w:r>
      <w:r>
        <w:rPr>
          <w:rFonts w:eastAsia="Times New Roman" w:hint="eastAsia"/>
        </w:rPr>
        <w:t>5</w:t>
      </w:r>
      <w:r>
        <w:rPr>
          <w:rFonts w:hint="eastAsia"/>
        </w:rPr>
        <w:t>C)</w:t>
      </w:r>
      <w:r>
        <w:rPr/>
        <w:t xml:space="preserve">. Among the 6 signatures, </w:t>
      </w:r>
      <w:r>
        <w:rPr>
          <w:rFonts w:eastAsia="Times New Roman" w:hint="eastAsia"/>
        </w:rPr>
        <w:t>3</w:t>
      </w:r>
      <w:r>
        <w:rPr/>
        <w:t xml:space="preserve"> of them were associated with defective endogenous mutational processes, including </w:t>
      </w:r>
      <w:r>
        <w:rPr>
          <w:rFonts w:hint="eastAsia"/>
        </w:rPr>
        <w:t>C_ID8</w:t>
      </w:r>
      <w:r>
        <w:rPr/>
        <w:t xml:space="preserve"> (Repair of DNA double strand breaks by NHEJ), C_ID17(TOP2A K743N mediated mutagenesis)</w:t>
      </w:r>
      <w:r>
        <w:rPr>
          <w:rFonts w:eastAsia="Times New Roman" w:hint="eastAsia"/>
        </w:rPr>
        <w:t xml:space="preserve"> and</w:t>
      </w:r>
      <w:r>
        <w:rPr/>
        <w:t xml:space="preserve"> </w:t>
      </w:r>
      <w:r>
        <w:rPr>
          <w:rFonts w:eastAsia="Times New Roman" w:hint="eastAsia"/>
        </w:rPr>
        <w:t xml:space="preserve">ID_F </w:t>
      </w:r>
      <w:r>
        <w:rPr/>
        <w:t>(TOP1-mediated</w:t>
      </w:r>
      <w:r>
        <w:rPr>
          <w:rFonts w:eastAsia="Times New Roman"/>
        </w:rPr>
        <w:t xml:space="preserve"> mutagenesis). Another </w:t>
      </w:r>
      <w:r>
        <w:rPr>
          <w:rFonts w:eastAsia="Times New Roman" w:hint="eastAsia"/>
        </w:rPr>
        <w:t>3</w:t>
      </w:r>
      <w:r>
        <w:rPr>
          <w:rFonts w:eastAsia="Times New Roman"/>
        </w:rPr>
        <w:t xml:space="preserve"> signatures with mutation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pPr>
        <w:pStyle w:val="Normal"/>
        <w:rPr/>
      </w:pPr>
      <w:r>
        <w:rPr>
          <w:rFonts w:eastAsia="Times New Roman"/>
        </w:rPr>
        <w:t>The effect of DNA replication timing was also observed in man</w:t>
      </w:r>
      <w:r>
        <w:rPr/>
        <w:t>y 83-type signatures</w:t>
      </w:r>
      <w:r>
        <w:rPr>
          <w:rFonts w:hint="eastAsia"/>
        </w:rPr>
        <w:t xml:space="preserve"> </w:t>
      </w:r>
      <w:r>
        <w:rPr>
          <w:rFonts w:eastAsia="Times New Roman" w:hint="eastAsia"/>
        </w:rPr>
        <w:t xml:space="preserve">(Figure 5D, </w:t>
      </w:r>
      <w:r>
        <w:rPr>
          <w:rFonts w:eastAsia="Times New Roman" w:hint="eastAsia"/>
          <w:shd w:fill="00FFFF" w:val="clear"/>
        </w:rPr>
        <w:t>Figure S4</w:t>
      </w:r>
      <w:r>
        <w:rPr>
          <w:shd w:fill="00FFFF" w:val="clear"/>
        </w:rPr>
        <w:t>,</w:t>
      </w:r>
      <w:r>
        <w:rPr/>
        <w:t xml:space="preserve"> </w:t>
      </w:r>
      <w:r>
        <w:rPr>
          <w:shd w:fill="00FFFF" w:val="clear"/>
        </w:rPr>
        <w:t>Table S</w:t>
      </w:r>
      <w:r>
        <w:rPr>
          <w:rFonts w:eastAsia="Times New Roman"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Times New Roman"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Times New Roman" w:hint="eastAsia"/>
          <w:shd w:fill="00FFFF" w:val="clear"/>
        </w:rPr>
        <w:t>4</w:t>
      </w:r>
      <w:r>
        <w:rPr>
          <w:shd w:fill="00FFFF" w:val="clear"/>
        </w:rPr>
        <w:t>, Table S</w:t>
      </w:r>
      <w:r>
        <w:rPr>
          <w:rFonts w:eastAsia="Times New Roman" w:hint="eastAsia"/>
          <w:shd w:fill="00FFFF" w:val="clear"/>
        </w:rPr>
        <w:t>14</w:t>
      </w:r>
      <w:r>
        <w:rPr/>
        <w:t>). InsDel</w:t>
      </w:r>
      <w:r>
        <w:rPr>
          <w:rFonts w:eastAsia="Times New Roman"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19" w:name="ZOTERO_BREF_xeDB1zkV4c3y"/>
      <w:r>
        <w:rPr/>
        <w:t>(Jin et al. 2024; Reijns et al. 2022; Koh et al. 2025)</w:t>
      </w:r>
      <w:bookmarkEnd w:id="19"/>
      <w:r>
        <w:rPr/>
        <w:t xml:space="preserve">. However, we detected a new indel signature, InsDel_F, which better corresponds to RNase H2 deficiency experimental data than ID4 </w:t>
      </w:r>
      <w:r>
        <w:rPr>
          <w:shd w:fill="FFFF00" w:val="clear"/>
        </w:rPr>
        <w:t>(Figure</w:t>
      </w:r>
      <w:r>
        <w:rPr>
          <w:rFonts w:eastAsia="Times New Roman" w:hint="eastAsia"/>
          <w:shd w:fill="FFFF00" w:val="clear"/>
        </w:rPr>
        <w:t xml:space="preserve"> 6</w:t>
      </w:r>
      <w:r>
        <w:rPr>
          <w:shd w:fill="FFFF00" w:val="clear"/>
        </w:rPr>
        <w:t>)</w:t>
      </w:r>
      <w:r>
        <w:rPr/>
        <w:t xml:space="preserve">. The profile of deletions of </w:t>
      </w:r>
      <w:r>
        <w:rPr>
          <w:rFonts w:eastAsia="Liberation Serif" w:cs="Liberation Serif" w:ascii="Liberation Serif" w:hAnsi="Liberation Serif"/>
        </w:rPr>
        <w:t>≥</w:t>
      </w:r>
      <w:r>
        <w:rP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fill="FFFF00" w:val="clear"/>
        </w:rPr>
        <w:t xml:space="preserve">&lt;Put the mice first&gt; </w:t>
      </w:r>
      <w:r>
        <w:rPr/>
        <w:t>The spectra in RNase H2 deficient cell lines consist of signatures due to mutational processes intrinsic to the parental cell line combined with high proportions of mutations characteristic of InsDel_F</w:t>
      </w:r>
      <w:r>
        <w:rPr>
          <w:rFonts w:eastAsia="Times New Roman" w:hint="eastAsia"/>
        </w:rPr>
        <w:t xml:space="preserve"> (</w:t>
      </w:r>
      <w:r>
        <w:rPr>
          <w:rFonts w:eastAsia="Times New Roman" w:hint="eastAsia"/>
          <w:shd w:fill="00FFFF" w:val="clear"/>
        </w:rPr>
        <w:t>Figure S5</w:t>
      </w:r>
      <w:r>
        <w:rPr>
          <w:rFonts w:eastAsia="Times New Roman"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Heading2"/>
        <w:rPr>
          <w:rFonts w:eastAsia="Times New Roman"/>
        </w:rPr>
      </w:pPr>
      <w:r>
        <w:rPr/>
        <w:t>Demographic Associations</w:t>
      </w:r>
      <w:r>
        <w:rPr>
          <w:rFonts w:eastAsia="Times New Roman" w:hint="eastAsia"/>
        </w:rPr>
        <w:t xml:space="preserve"> with Gender and Age STEVE REVIEW</w:t>
      </w:r>
    </w:p>
    <w:p>
      <w:pPr>
        <w:pStyle w:val="Normal"/>
        <w:rPr>
          <w:rFonts w:eastAsia="Times New Roman"/>
        </w:rPr>
      </w:pPr>
      <w:r>
        <w:rPr>
          <w:rFonts w:eastAsia="Times New Roma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Times New Roman" w:hint="eastAsia"/>
        </w:rPr>
        <w:t xml:space="preserve"> (</w:t>
      </w:r>
      <w:r>
        <w:rPr>
          <w:rFonts w:eastAsia="Times New Roman" w:hint="eastAsia"/>
          <w:shd w:fill="00FFFF" w:val="clear"/>
        </w:rPr>
        <w:t>Figure S6A,</w:t>
      </w:r>
      <w:r>
        <w:rPr>
          <w:rFonts w:eastAsia="Times New Roman" w:hint="eastAsia"/>
        </w:rPr>
        <w:t xml:space="preserve"> </w:t>
      </w:r>
      <w:r>
        <w:rPr>
          <w:rFonts w:eastAsia="Times New Roman" w:hint="eastAsia"/>
          <w:shd w:fill="00FFFF" w:val="clear"/>
        </w:rPr>
        <w:t>Table S15</w:t>
      </w:r>
      <w:r>
        <w:rPr>
          <w:rFonts w:eastAsia="Times New Roman" w:hint="eastAsia"/>
        </w:rPr>
        <w:t>)</w:t>
      </w:r>
      <w:r>
        <w:rPr>
          <w:rFonts w:eastAsia="Times New Roman"/>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Times New Roman" w:hint="eastAsia"/>
        </w:rPr>
        <w:t xml:space="preserve"> and </w:t>
      </w:r>
      <w:r>
        <w:rPr>
          <w:rFonts w:eastAsia="Times New Roman"/>
        </w:rPr>
        <w:t xml:space="preserve">their </w:t>
      </w:r>
      <w:r>
        <w:rPr>
          <w:rFonts w:eastAsia="Times New Roman" w:hint="eastAsia"/>
        </w:rPr>
        <w:t xml:space="preserve">underlying </w:t>
      </w:r>
      <w:r>
        <w:rPr>
          <w:rFonts w:eastAsia="Times New Roman"/>
        </w:rPr>
        <w:t xml:space="preserve">biological </w:t>
      </w:r>
      <w:r>
        <w:rPr>
          <w:rFonts w:eastAsia="Times New Roman" w:hint="eastAsia"/>
        </w:rPr>
        <w:t>processes might</w:t>
      </w:r>
      <w:r>
        <w:rPr>
          <w:rFonts w:eastAsia="Times New Roman"/>
        </w:rPr>
        <w:t xml:space="preserve"> be modulated by gender, shaping distinct patterns of cancer susceptibility and progression.</w:t>
      </w:r>
    </w:p>
    <w:p>
      <w:pPr>
        <w:pStyle w:val="Normal"/>
        <w:rPr>
          <w:rFonts w:eastAsia="Times New Roman"/>
        </w:rPr>
      </w:pPr>
      <w:r>
        <w:rPr>
          <w:rFonts w:eastAsia="Times New Roman"/>
        </w:rPr>
        <w:t>To characterize the "clock-like" behavior of these signatures, we examined correlations between signature activity and patient age at diagnosis using Spearman correlation analyses across the pan-cancer cohort</w:t>
      </w:r>
      <w:r>
        <w:rPr>
          <w:rFonts w:eastAsia="Times New Roman" w:hint="eastAsia"/>
        </w:rPr>
        <w:t xml:space="preserve"> (</w:t>
      </w:r>
      <w:r>
        <w:rPr>
          <w:rFonts w:eastAsia="Times New Roman" w:hint="eastAsia"/>
          <w:shd w:fill="00FFFF" w:val="clear"/>
        </w:rPr>
        <w:t>Figure S6B</w:t>
      </w:r>
      <w:r>
        <w:rPr>
          <w:rFonts w:eastAsia="Times New Roman" w:hint="eastAsia"/>
        </w:rPr>
        <w:t>)</w:t>
      </w:r>
      <w:r>
        <w:rPr>
          <w:rFonts w:eastAsia="Times New Roman"/>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Times New Roman" w:hint="eastAsia"/>
          <w:shd w:fill="00FFFF" w:val="clear"/>
        </w:rPr>
        <w:t xml:space="preserve"> (Table S16)</w:t>
      </w:r>
      <w:r>
        <w:rPr>
          <w:rFonts w:eastAsia="Times New Roman"/>
          <w:shd w:fill="00FFFF" w:val="clear"/>
        </w:rPr>
        <w:t xml:space="preserve">. </w:t>
      </w:r>
      <w:r>
        <w:rPr>
          <w:rFonts w:eastAsia="Times New Roman"/>
        </w:rPr>
        <w:t>However, these broad pan-cancer associations likely reflect weak or heterogeneous age dependencies spread across multiple tumor types, rather than strong, tissue-specific age effects.</w:t>
      </w:r>
    </w:p>
    <w:p>
      <w:pPr>
        <w:pStyle w:val="Normal"/>
        <w:rPr>
          <w:rFonts w:eastAsia="Times New Roman"/>
        </w:rPr>
      </w:pPr>
      <w:r>
        <w:rPr>
          <w:rFonts w:eastAsia="Times New Roman" w:hint="eastAsia"/>
        </w:rPr>
        <w:t>Taken together</w:t>
      </w:r>
      <w:r>
        <w:rPr>
          <w:rFonts w:eastAsia="Times New Roman"/>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Times New Roman"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2"/>
      <w:commentRangeStart w:id="3"/>
      <w:commentRangeStart w:id="4"/>
      <w:commentRangeStart w:id="5"/>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5"/>
      <w:r>
        <w:commentReference w:id="5"/>
      </w:r>
      <w:r>
        <w:rPr>
          <w:rFonts w:eastAsia="宋体" w:eastAsiaTheme="minorEastAsia"/>
        </w:rPr>
      </w:r>
      <w:commentRangeEnd w:id="4"/>
      <w:r>
        <w:commentReference w:id="4"/>
      </w:r>
      <w:r>
        <w:rPr>
          <w:rFonts w:eastAsia="宋体" w:eastAsiaTheme="minorEastAsia"/>
        </w:rPr>
      </w:r>
      <w:commentRangeEnd w:id="3"/>
      <w:r>
        <w:commentReference w:id="3"/>
      </w:r>
      <w:r>
        <w:rPr>
          <w:rFonts w:eastAsia="宋体" w:eastAsiaTheme="minorEastAsia"/>
        </w:rPr>
      </w:r>
      <w:commentRangeEnd w:id="2"/>
      <w:r>
        <w:commentReference w:id="2"/>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w:t>
      </w:r>
      <w:r>
        <w:rPr>
          <w:rFonts w:eastAsia="Times New Roman" w:hint="eastAsia"/>
        </w:rPr>
        <w:t>)</w:t>
      </w:r>
      <w:r>
        <w:rPr/>
        <w:t>. Hartwig Medical Foundation</w:t>
      </w:r>
      <w:r>
        <w:rPr>
          <w:rFonts w:eastAsia="Times New Roman"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Times New Roman"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&lt;we can duplicate this in the code but we don’t need to re-present the Priestly table&gt; These data was also provided</w:t>
      </w:r>
      <w:r>
        <w:rPr/>
        <w:t xml:space="preserve"> are available in Table S</w:t>
      </w:r>
      <w:r>
        <w:rPr>
          <w:rFonts w:hint="eastAsia"/>
        </w:rPr>
        <w:t>1</w:t>
      </w:r>
      <w:r>
        <w:rPr>
          <w:rFonts w:eastAsia="Times New Roman" w:hint="eastAsia"/>
        </w:rPr>
        <w:t>6</w:t>
      </w:r>
      <w:r>
        <w:rPr>
          <w:rFonts w:hint="eastAsia"/>
        </w:rPr>
        <w:t xml:space="preserve"> in </w:t>
      </w:r>
      <w:bookmarkStart w:id="20" w:name="ZOTERO_BREF_Jmprd6S6YeS8"/>
      <w:r>
        <w:rPr>
          <w:rFonts w:hint="eastAsia"/>
        </w:rPr>
        <w:t>(Priestley et al. 2019)</w:t>
      </w:r>
      <w:bookmarkEnd w:id="20"/>
      <w:r>
        <w:rPr/>
        <w:t xml:space="preserve">. </w:t>
      </w:r>
    </w:p>
    <w:p>
      <w:pPr>
        <w:pStyle w:val="Heading2"/>
        <w:rPr/>
      </w:pPr>
      <w:r>
        <w:rPr>
          <w:rFonts w:hint="eastAsia"/>
        </w:rPr>
        <w:t xml:space="preserve">De novo </w:t>
      </w:r>
      <w:r>
        <w:rPr/>
        <w:t>Mutational signature extraction</w:t>
      </w:r>
    </w:p>
    <w:p>
      <w:pPr>
        <w:pStyle w:val="Normal"/>
        <w:ind w:firstLineChars="200"/>
        <w:rPr>
          <w:rFonts w:eastAsia="Times New Roman"/>
        </w:rPr>
      </w:pPr>
      <w:r>
        <w:rPr>
          <w:rFonts w:eastAsia="Times New Roman"/>
          <w:i/>
          <w:iCs/>
        </w:rPr>
        <w:t>De novo</w:t>
      </w:r>
      <w:r>
        <w:rPr>
          <w:rFonts w:eastAsia="Times New Roman"/>
        </w:rPr>
        <w:t xml:space="preserve"> mutational signature extraction was performed using two complementary tools applied to the 83-type, 89-type, and 476-type mutational spectra.</w:t>
      </w:r>
      <w:r>
        <w:rPr>
          <w:rFonts w:eastAsia="Times New Roman" w:hint="eastAsia"/>
        </w:rPr>
        <w:t xml:space="preserve"> </w:t>
      </w:r>
      <w:r>
        <w:rPr>
          <w:rFonts w:eastAsia="Times New Roman"/>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Times New Roman"/>
        </w:rPr>
      </w:pPr>
      <w:r>
        <w:rPr>
          <w:rFonts w:eastAsia="Times New Roma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Times New Roman"/>
        </w:rPr>
      </w:pPr>
      <w:r>
        <w:rPr>
          <w:rFonts w:eastAsia="Times New Roman"/>
        </w:rPr>
        <w:t xml:space="preserve">In parallel, de novo mutational signatures were extracted using </w:t>
      </w:r>
      <w:r>
        <w:rPr>
          <w:rFonts w:eastAsia="Times New Roman" w:hint="eastAsia"/>
        </w:rPr>
        <w:t xml:space="preserve">the Non-negative matrix factorization based approach (NMF), </w:t>
      </w:r>
      <w:r>
        <w:rPr>
          <w:rFonts w:eastAsia="Times New Roma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Times New Roman" w:hint="eastAsia"/>
        </w:rPr>
        <w:t>Most signatures were extracted at</w:t>
      </w:r>
      <w:r>
        <w:rPr>
          <w:rFonts w:eastAsia="Times New Roman"/>
        </w:rPr>
        <w:t xml:space="preserve"> the “Optimal Solution” identified by SigProfilerExtractor, although several rare signatures were identified in alternative solutions.</w:t>
      </w:r>
    </w:p>
    <w:p>
      <w:pPr>
        <w:pStyle w:val="Heading2"/>
        <w:rPr>
          <w:rFonts w:eastAsia="Times New Roman"/>
        </w:rPr>
      </w:pPr>
      <w:r>
        <w:rPr>
          <w:rFonts w:eastAsia="Times New Roman"/>
        </w:rPr>
        <w:t xml:space="preserve">Match </w:t>
      </w:r>
      <w:r>
        <w:rPr>
          <w:rFonts w:eastAsia="Times New Roman" w:hint="eastAsia"/>
        </w:rPr>
        <w:t>83-type and 83-type</w:t>
      </w:r>
      <w:r>
        <w:rPr>
          <w:rFonts w:eastAsia="Times New Roman"/>
        </w:rPr>
        <w:t xml:space="preserve"> signatures into reference signatures</w:t>
      </w:r>
    </w:p>
    <w:p>
      <w:pPr>
        <w:pStyle w:val="Normal"/>
        <w:spacing w:before="0" w:after="0"/>
        <w:ind w:firstLineChars="200"/>
        <w:rPr>
          <w:rFonts w:eastAsia="Times New Roman"/>
        </w:rPr>
      </w:pPr>
      <w:r>
        <w:rPr>
          <w:rFonts w:eastAsia="Times New Roman" w:hint="eastAsia"/>
        </w:rPr>
        <w:t xml:space="preserve">For 83-type signatures, the signatures were matched to previously identified COSMIC signatures (v3.5, </w:t>
      </w:r>
      <w:hyperlink r:id="rId6">
        <w:r>
          <w:rPr>
            <w:rStyle w:val="Hyperlink"/>
            <w:rFonts w:eastAsia="Times New Roman"/>
          </w:rPr>
          <w:t>https://cancer.sanger.ac.uk/signatures/id/</w:t>
        </w:r>
      </w:hyperlink>
      <w:r>
        <w:rPr>
          <w:rFonts w:eastAsia="Times New Roman" w:hint="eastAsia"/>
        </w:rPr>
        <w:t xml:space="preserve">). For 89-type signatures, the signatures supported by both mSigHdp and SigProfilerExtractor were matched to the signatures reported in Koh et al. A detailed comparison can be found at Table 1. </w:t>
      </w:r>
    </w:p>
    <w:p>
      <w:pPr>
        <w:pStyle w:val="Normal"/>
        <w:ind w:firstLineChars="200"/>
        <w:rPr>
          <w:rFonts w:eastAsia="Times New Roman"/>
        </w:rPr>
      </w:pPr>
      <w:r>
        <w:rPr>
          <w:rFonts w:eastAsia="Times New Roman"/>
        </w:rPr>
        <w:t xml:space="preserve">We compared all </w:t>
      </w:r>
      <w:r>
        <w:rPr>
          <w:rFonts w:eastAsia="Times New Roman"/>
          <w:i/>
          <w:iCs/>
        </w:rPr>
        <w:t>de novo</w:t>
      </w:r>
      <w:r>
        <w:rPr>
          <w:rFonts w:eastAsia="Times New Roman"/>
        </w:rPr>
        <w:t xml:space="preserve"> signatures </w:t>
      </w:r>
      <w:r>
        <w:rPr>
          <w:rFonts w:eastAsia="Times New Roman" w:hint="eastAsia"/>
        </w:rPr>
        <w:t xml:space="preserve">supported by both mSigHdp and SigProfilerExtractor </w:t>
      </w:r>
      <w:r>
        <w:rPr/>
        <w:t xml:space="preserve">to </w:t>
      </w:r>
      <w:r>
        <w:rPr>
          <w:rFonts w:eastAsia="Times New Roman" w:hint="eastAsia"/>
        </w:rPr>
        <w:t>the published</w:t>
      </w:r>
      <w:r>
        <w:rPr/>
        <w:t xml:space="preserve"> signatures and categorized them into three groups: (1) known signature: if</w:t>
      </w:r>
      <w:r>
        <w:rPr>
          <w:rFonts w:eastAsia="Times New Roman"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Times New Roman"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Times New Roman" w:hint="eastAsia"/>
        </w:rPr>
        <w:t xml:space="preserve">extracted </w:t>
      </w:r>
      <w:r>
        <w:rPr/>
        <w:t xml:space="preserve">signatures do not fit into the known signatures or the merged signatures. </w:t>
      </w:r>
      <w:r>
        <w:rPr>
          <w:rFonts w:eastAsia="Times New Roman" w:hint="eastAsia"/>
        </w:rPr>
        <w:t>We focused on (1) and (3) in this study.</w:t>
      </w:r>
    </w:p>
    <w:p>
      <w:pPr>
        <w:pStyle w:val="Heading2"/>
        <w:rPr>
          <w:rFonts w:eastAsia="Times New Roman"/>
        </w:rPr>
      </w:pPr>
      <w:r>
        <w:rPr>
          <w:rFonts w:eastAsia="Times New Roman" w:hint="eastAsia"/>
        </w:rPr>
        <w:t>Assignment of signature activity to each individual genome</w:t>
      </w:r>
    </w:p>
    <w:p>
      <w:pPr>
        <w:pStyle w:val="normalfirst"/>
        <w:ind w:firstLineChars="200"/>
        <w:rPr/>
      </w:pPr>
      <w:r>
        <w:rPr>
          <w:rFonts w:eastAsia="Times New Roma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Times New Roman" w:hint="eastAsia"/>
        </w:rPr>
        <w:t>T</w:t>
      </w:r>
      <w:r>
        <w:rPr>
          <w:rFonts w:eastAsia="Times New Roman"/>
        </w:rPr>
        <w:t xml:space="preserve"> insertions or deletions in at least five </w:t>
      </w:r>
      <w:r>
        <w:rPr>
          <w:rFonts w:eastAsia="Times New Roman" w:hint="eastAsia"/>
        </w:rPr>
        <w:t>poly-</w:t>
      </w:r>
      <w:r>
        <w:rPr>
          <w:rFonts w:eastAsia="Times New Roman"/>
        </w:rPr>
        <w:t>T tracts account for ≥</w:t>
      </w:r>
      <w:r>
        <w:rPr>
          <w:rFonts w:eastAsia="Times New Roman" w:hint="eastAsia"/>
        </w:rPr>
        <w:t>5</w:t>
      </w:r>
      <w:r>
        <w:rPr>
          <w:rFonts w:eastAsia="Times New Roman"/>
        </w:rPr>
        <w:t>0% of the mutations</w:t>
      </w:r>
      <w:r>
        <w:rPr>
          <w:rFonts w:eastAsia="Times New Roman" w:hint="eastAsia"/>
        </w:rPr>
        <w:t xml:space="preserve"> (Table S17)</w:t>
      </w:r>
      <w:r>
        <w:rPr>
          <w:rFonts w:eastAsia="Times New Roman"/>
        </w:rPr>
        <w:t xml:space="preserve">, </w:t>
      </w:r>
      <w:r>
        <w:rPr>
          <w:rFonts w:eastAsia="Times New Roman" w:hint="eastAsia"/>
        </w:rPr>
        <w:t xml:space="preserve">often </w:t>
      </w:r>
      <w:r>
        <w:rPr>
          <w:rFonts w:eastAsia="Times New Roman"/>
        </w:rPr>
        <w:t xml:space="preserve">exhibited highly sparse spectra. This sparsity </w:t>
      </w:r>
      <w:r>
        <w:rPr>
          <w:rFonts w:eastAsia="Times New Roman" w:hint="eastAsia"/>
        </w:rPr>
        <w:t>further masks</w:t>
      </w:r>
      <w:r>
        <w:rPr>
          <w:rFonts w:eastAsia="Times New Roman"/>
        </w:rPr>
        <w:t xml:space="preserve"> other mutational signals. </w:t>
      </w:r>
      <w:r>
        <w:rPr>
          <w:rFonts w:eastAsia="Times New Roman" w:hint="eastAsia"/>
        </w:rPr>
        <w:t>Therefore regarding</w:t>
      </w:r>
      <w:r>
        <w:rPr>
          <w:rFonts w:eastAsia="Times New Roman"/>
        </w:rPr>
        <w:t xml:space="preserve"> these cases, we employed mSigAct, estimating likelihoods under a multinomial distribution. </w:t>
      </w:r>
      <w:r>
        <w:rPr>
          <w:rFonts w:eastAsia="Times New Roman" w:hint="eastAsia"/>
        </w:rPr>
        <w:t xml:space="preserve">This was performed in a two-step computational framework. </w:t>
      </w:r>
      <w:r>
        <w:rPr/>
        <w:t xml:space="preserve">First, we applied the find_best_reconstruction_QP function from the </w:t>
      </w:r>
      <w:r>
        <w:rPr>
          <w:rFonts w:eastAsia="Times New Roman"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Times New Roman" w:hint="eastAsia"/>
        </w:rPr>
        <w:t xml:space="preserve">. </w:t>
      </w:r>
      <w:r>
        <w:rPr>
          <w:rFonts w:eastAsia="Times New Roman"/>
        </w:rPr>
        <w:t>Final signature assignments were obtained by integrating results from SigProfilerAssignment for low-TMB tumors and mSigAct for high-TMB tumors</w:t>
      </w:r>
      <w:r>
        <w:rPr>
          <w:rFonts w:eastAsia="Times New Roman" w:hint="eastAsia"/>
        </w:rPr>
        <w:t>.</w:t>
      </w:r>
    </w:p>
    <w:p>
      <w:pPr>
        <w:pStyle w:val="Heading2"/>
        <w:rPr>
          <w:rFonts w:eastAsia="Times New Roman"/>
        </w:rPr>
      </w:pPr>
      <w:r>
        <w:rPr>
          <w:rFonts w:eastAsia="Times New Roman"/>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Times New Roman"/>
        </w:rPr>
      </w:pPr>
      <w:r>
        <w:rPr>
          <w:rFonts w:eastAsia="Times New Roman"/>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Times New Roman"/>
        </w:rPr>
      </w:pPr>
      <w:r>
        <w:rPr>
          <w:rFonts w:eastAsia="Times New Roman"/>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Times New Roman"/>
        </w:rPr>
      </w:pPr>
      <w:r>
        <w:rPr>
          <w:rFonts w:eastAsia="Times New Roman"/>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Times New Roman"/>
        </w:rPr>
      </w:pPr>
      <w:r>
        <w:rPr>
          <w:rFonts w:eastAsia="Times New Roman"/>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Times New Roman" w:hint="eastAsia"/>
        </w:rPr>
        <w:t xml:space="preserve">an 83-type </w:t>
      </w:r>
      <w:r>
        <w:rPr/>
        <w:t xml:space="preserve">signature was determined for both real and simulated data. An </w:t>
      </w:r>
      <w:r>
        <w:rPr>
          <w:rFonts w:eastAsia="Times New Roman"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Times New Roman" w:hint="eastAsia"/>
        </w:rPr>
        <w:t>83-type</w:t>
      </w:r>
      <w:r>
        <w:rPr/>
        <w:t xml:space="preserve"> signature for the two datasets (real and simulated data) were different, the relative trend for real data comparing the simulated data was the final trend for the </w:t>
      </w:r>
      <w:r>
        <w:rPr>
          <w:rFonts w:eastAsia="Times New Roman" w:hint="eastAsia"/>
        </w:rPr>
        <w:t>83-type</w:t>
      </w:r>
      <w:r>
        <w:rPr/>
        <w:t xml:space="preserve"> signature. Otherwise, if the trends of a certain </w:t>
      </w:r>
      <w:r>
        <w:rPr>
          <w:rFonts w:eastAsia="Times New Roman"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Times New Roman"/>
        </w:rPr>
      </w:pPr>
      <w:r>
        <w:rPr/>
        <w:t xml:space="preserve">Similarly, the final trend of an </w:t>
      </w:r>
      <w:r>
        <w:rPr>
          <w:rFonts w:eastAsia="Times New Roman" w:hint="eastAsia"/>
        </w:rPr>
        <w:t>83-type</w:t>
      </w:r>
      <w:r>
        <w:rPr/>
        <w:t xml:space="preserve"> signature were determined by the significance of the coefficient of replication timing. If it is not significant, an </w:t>
      </w:r>
      <w:r>
        <w:rPr>
          <w:rFonts w:eastAsia="Times New Roman" w:hint="eastAsia"/>
        </w:rPr>
        <w:t>83-type</w:t>
      </w:r>
      <w:r>
        <w:rPr/>
        <w:t xml:space="preserve"> signature was considered to be generally unaffected by replication timing. Otherwise, if the coefficient of replication timing &gt; 0, an </w:t>
      </w:r>
      <w:r>
        <w:rPr>
          <w:rFonts w:eastAsia="Times New Roman" w:hint="eastAsia"/>
        </w:rPr>
        <w:t>83-type</w:t>
      </w:r>
      <w:r>
        <w:rPr/>
        <w:t xml:space="preserve"> signature was considered to be increasing from early to late replicating regions; if the coefficient of replication timing &lt; 0, an </w:t>
      </w:r>
      <w:r>
        <w:rPr>
          <w:rFonts w:eastAsia="Times New Roman" w:hint="eastAsia"/>
        </w:rPr>
        <w:t>83-type</w:t>
      </w:r>
      <w:r>
        <w:rPr/>
        <w:t xml:space="preserve"> signature was considered to be decreasing from early to late replicating regions.</w:t>
      </w:r>
    </w:p>
    <w:p>
      <w:pPr>
        <w:pStyle w:val="Heading2"/>
        <w:rPr>
          <w:rFonts w:eastAsia="Times New Roman"/>
        </w:rPr>
      </w:pPr>
      <w:r>
        <w:rPr>
          <w:rFonts w:eastAsia="Times New Roman"/>
        </w:rPr>
        <w:t xml:space="preserve">MSI/MSS </w:t>
      </w:r>
      <w:r>
        <w:rPr>
          <w:rFonts w:eastAsia="Times New Roman" w:hint="eastAsia"/>
        </w:rPr>
        <w:t>s</w:t>
      </w:r>
      <w:r>
        <w:rPr>
          <w:rFonts w:eastAsia="Times New Roman"/>
        </w:rPr>
        <w:t>tatus</w:t>
      </w:r>
      <w:r>
        <w:rPr>
          <w:rFonts w:eastAsia="Times New Roman" w:hint="eastAsia"/>
        </w:rPr>
        <w:t xml:space="preserve"> and high/low TMB status</w:t>
      </w:r>
    </w:p>
    <w:p>
      <w:pPr>
        <w:pStyle w:val="Normal"/>
        <w:rPr>
          <w:color w:val="000000"/>
        </w:rPr>
      </w:pPr>
      <w:r>
        <w:rPr/>
        <w:t>For PCAWG genomes, the MSI</w:t>
      </w:r>
      <w:r>
        <w:rPr>
          <w:rFonts w:eastAsia="Times New Roman"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Times New Roman"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Times New Roma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Times New Roman"/>
        </w:rPr>
      </w:pPr>
      <w:r>
        <w:rPr>
          <w:rFonts w:eastAsia="Times New Roman"/>
        </w:rPr>
        <w:t>Extended sequence context</w:t>
      </w:r>
      <w:r>
        <w:rPr>
          <w:rFonts w:eastAsia="Times New Roman"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Times New Roman"/>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Times New Roman" w:hint="eastAsia"/>
        </w:rPr>
        <w:t xml:space="preserve">, and </w:t>
      </w:r>
      <w:r>
        <w:rPr>
          <w:rFonts w:hint="eastAsia"/>
        </w:rPr>
        <w:t xml:space="preserve">R.Y. characterized the topography of 83-type mutational signatures. </w:t>
      </w:r>
      <w:r>
        <w:rPr>
          <w:rFonts w:eastAsia="Times New Roman"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Times New Roman"/>
        </w:rPr>
      </w:pPr>
      <w:r>
        <w:rPr>
          <w:b/>
          <w:bCs/>
        </w:rPr>
        <w:t>Declaration of generative AI and AI-assisted technologies in the writing process.</w:t>
      </w:r>
      <w:r>
        <w:rPr>
          <w:rFonts w:eastAsia="Times New Roman"/>
        </w:rPr>
        <w:t xml:space="preserve">  </w:t>
      </w:r>
    </w:p>
    <w:p>
      <w:pPr>
        <w:pStyle w:val="normalfirst"/>
        <w:rPr>
          <w:rFonts w:eastAsia="Times New Roman"/>
        </w:rPr>
      </w:pPr>
      <w:r>
        <w:rPr>
          <w:rFonts w:eastAsia="Times New Roman"/>
        </w:rPr>
        <w:t xml:space="preserve">During the preparation of this work the author(s) used </w:t>
      </w:r>
      <w:r>
        <w:rPr>
          <w:rFonts w:eastAsia="Times New Roman" w:hint="eastAsia"/>
        </w:rPr>
        <w:t xml:space="preserve">Claude </w:t>
      </w:r>
      <w:r>
        <w:rPr>
          <w:rFonts w:eastAsia="Times New Roman"/>
        </w:rPr>
        <w:t xml:space="preserve">in order to </w:t>
      </w:r>
      <w:r>
        <w:rPr/>
        <w:t>polish the text and ensure grammatical accuracy and appropriate vocabulary usage</w:t>
      </w:r>
      <w:r>
        <w:rPr>
          <w:rFonts w:eastAsia="Times New Roman"/>
        </w:rPr>
        <w:t>. After using this tool/service, the author(s) reviewed and edited the content as needed and take(s) full responsibility for the content of the published article.</w:t>
      </w:r>
    </w:p>
    <w:p>
      <w:pPr>
        <w:pStyle w:val="Heading1"/>
        <w:rPr/>
      </w:pPr>
      <w:r>
        <w:rPr/>
      </w:r>
      <w:r>
        <w:br w:type="page"/>
      </w:r>
    </w:p>
    <w:p>
      <w:pPr>
        <w:pStyle w:val="Heading1"/>
        <w:spacing w:before="0" w:after="120"/>
        <w:rPr/>
      </w:pPr>
      <w:r>
        <w:rPr/>
        <w:t>Reference</w:t>
      </w:r>
    </w:p>
    <w:p>
      <w:pPr>
        <w:pStyle w:val="Bibliography1"/>
        <w:rPr/>
      </w:pPr>
      <w:bookmarkStart w:id="21"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lang w:val="de-DE"/>
        </w:rPr>
        <w:t xml:space="preserve">Chen, Lei, Chong Zhang, Ruidong Xue, et al. 2024. </w:t>
      </w:r>
      <w:r>
        <w:rPr/>
        <w:t xml:space="preserve">‘Deep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lang w:val="de-DE"/>
        </w:rPr>
        <w:t xml:space="preserve">Kucab, Jill E., Xueqing Zou, Sandro Morganella, et al. 2019. </w:t>
      </w:r>
      <w:r>
        <w:rPr/>
        <w:t xml:space="preserve">‘A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1"/>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start w:val="single" w:sz="4" w:space="0" w:color="999999"/>
              <w:bottom w:val="single" w:sz="12" w:space="0" w:color="666666"/>
              <w:end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rPr/>
      </w:pPr>
      <w:r>
        <w:rPr/>
        <w:drawing>
          <wp:inline distT="0" distB="0" distL="0" distR="0">
            <wp:extent cx="5124450" cy="453580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tretch>
                      <a:fillRect/>
                    </a:stretch>
                  </pic:blipFill>
                  <pic:spPr bwMode="auto">
                    <a:xfrm>
                      <a:off x="0" y="0"/>
                      <a:ext cx="5124450" cy="453580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2"/>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3"/>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r>
        <w:br w:type="page"/>
      </w:r>
    </w:p>
    <w:p>
      <w:pPr>
        <w:pStyle w:val="Normal"/>
        <w:spacing w:lineRule="auto" w:line="240" w:before="0" w:after="0"/>
        <w:ind w:hanging="0"/>
        <w:rPr>
          <w:sz w:val="18"/>
          <w:szCs w:val="18"/>
        </w:rPr>
      </w:pPr>
      <w:r>
        <w:rPr/>
        <w:drawing>
          <wp:inline distT="0" distB="0" distL="0" distR="0">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4"/>
                    <a:srcRect l="0" t="0" r="0" b="819"/>
                    <a:stretch>
                      <a:fillRect/>
                    </a:stretch>
                  </pic:blipFill>
                  <pic:spPr bwMode="auto">
                    <a:xfrm>
                      <a:off x="0" y="0"/>
                      <a:ext cx="5709285" cy="7549515"/>
                    </a:xfrm>
                    <a:prstGeom prst="rect">
                      <a:avLst/>
                    </a:prstGeom>
                    <a:noFill/>
                  </pic:spPr>
                </pic:pic>
              </a:graphicData>
            </a:graphic>
          </wp:inline>
        </w:drawing>
      </w:r>
    </w:p>
    <w:p>
      <w:pPr>
        <w:pStyle w:val="Normal"/>
        <w:spacing w:lineRule="auto" w:line="240" w:before="0" w:after="0"/>
        <w:ind w:hanging="0"/>
        <w:rPr>
          <w:sz w:val="18"/>
          <w:szCs w:val="18"/>
        </w:rPr>
      </w:pPr>
      <w:r>
        <w:rPr>
          <w:rFonts w:eastAsia="宋体" w:eastAsiaTheme="minorEastAsia"/>
          <w:b/>
          <w:bCs/>
          <w:sz w:val="18"/>
          <w:szCs w:val="18"/>
        </w:rPr>
        <w:t xml:space="preserve">Figure </w:t>
      </w:r>
      <w:r>
        <w:rPr>
          <w:rFonts w:eastAsia="Times New Roman" w:hint="eastAsia"/>
          <w:b/>
          <w:bCs/>
          <w:sz w:val="18"/>
          <w:szCs w:val="18"/>
        </w:rPr>
        <w:t>4</w:t>
      </w:r>
      <w:r>
        <w:rPr>
          <w:rFonts w:eastAsia="宋体" w:eastAsiaTheme="minorEastAsia"/>
          <w:b/>
          <w:bCs/>
          <w:sz w:val="18"/>
          <w:szCs w:val="18"/>
        </w:rPr>
        <w:t xml:space="preserve"> </w:t>
      </w:r>
      <w:r>
        <w:rPr>
          <w:rFonts w:eastAsia="宋体" w:hint="eastAsia" w:eastAsiaTheme="minorEastAsia"/>
          <w:b/>
          <w:bCs/>
          <w:sz w:val="18"/>
          <w:szCs w:val="18"/>
        </w:rPr>
        <w:t>Association of indel signatures with cancer types and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 xml:space="preserve">(A) </w:t>
      </w:r>
      <w:r>
        <w:rPr>
          <w:rFonts w:eastAsia="宋体" w:hint="eastAsia" w:eastAsiaTheme="minor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宋体" w:hint="eastAsia" w:eastAsiaTheme="minorEastAsia"/>
          <w:sz w:val="18"/>
          <w:szCs w:val="18"/>
        </w:rPr>
        <w:t>s exact test of number of tumors with the signature versus the number without in a given tumor type versus all other tumors.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5"/>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 xml:space="preserve">Figure </w:t>
      </w:r>
      <w:r>
        <w:rPr>
          <w:rFonts w:eastAsia="Times New Roman"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4075" cy="3819525"/>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6"/>
                    <a:stretch>
                      <a:fillRect/>
                    </a:stretch>
                  </pic:blipFill>
                  <pic:spPr bwMode="auto">
                    <a:xfrm>
                      <a:off x="0" y="0"/>
                      <a:ext cx="5934075" cy="381952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eastAsia="Times New Roman"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Times New Roman" w:cs="Noto Sans Arabic UI"/>
          <w:sz w:val="22"/>
          <w:szCs w:val="22"/>
        </w:rPr>
      </w:pPr>
      <w:r>
        <w:rPr>
          <w:rFonts w:eastAsia="Times New Roman" w:cs="Noto Sans Arabic UI" w:ascii="Calibri" w:hAnsi="Calibri"/>
          <w:sz w:val="22"/>
          <w:szCs w:val="22"/>
        </w:rPr>
      </w:r>
    </w:p>
    <w:sectPr>
      <w:footerReference w:type="even" r:id="rId17"/>
      <w:footerReference w:type="default" r:id="rId18"/>
      <w:footerReference w:type="first" r:id="rId19"/>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7-31T14:40:00Z" w:initials="ML">
    <w:p>
      <w:pPr>
        <w:overflowPunct w:val="false"/>
        <w:spacing w:before="0" w:after="0" w:lineRule="auto" w:line="240"/>
        <w:rPr/>
      </w:pPr>
      <w:r>
        <w:annotationRef/>
      </w:r>
      <w:r>
        <w:rPr>
          <w:rFonts w:cs="Noto Sans Arabic UI" w:eastAsia="宋体" w:ascii="Calibri" w:hAnsi="Calibri"/>
          <w:sz w:val="22"/>
          <w:szCs w:val="22"/>
        </w:rPr>
        <w:t>Please review the paragraph</w:t>
      </w:r>
    </w:p>
  </w:comment>
  <w:comment w:id="1" w:author="Mo Liu" w:date="2026-06-29T16:59:00Z" w:initials="ML">
    <w:p>
      <w:pPr>
        <w:overflowPunct w:val="false"/>
        <w:spacing w:before="0" w:after="0" w:lineRule="auto" w:line="240"/>
        <w:rPr/>
      </w:pPr>
      <w:r>
        <w:annotationRef/>
      </w:r>
      <w:r>
        <w:rPr>
          <w:rFonts w:eastAsia="宋体" w:cs="Noto Sans Arabic UI" w:ascii="Calibri" w:hAnsi="Calibri"/>
          <w:sz w:val="22"/>
          <w:szCs w:val="22"/>
        </w:rPr>
        <w:t>About ID_K, the leading strand enrichment is consistent with two POLE SBS signatures, 10a and 10b</w:t>
      </w:r>
    </w:p>
  </w:comment>
  <w:comment w:id="5" w:author="Mo Liu" w:date="2026-05-25T13:45:00Z" w:initials="ML">
    <w:p w14:paraId="01000000">
      <w:pPr>
        <w:overflowPunct w:val="true"/>
        <w:spacing w:lineRule="auto" w:line="240" w:before="0" w:after="0"/>
        <w:rPr/>
      </w:pPr>
      <w:r>
        <w:annotationRef/>
      </w:r>
      <w:r>
        <w:rPr>
          <w:rFonts w:eastAsia="宋体" w:cs="Noto Sans Arabic UI" w:ascii="Calibri" w:hAnsi="Calibri"/>
          <w:sz w:val="22"/>
          <w:szCs w:val="22"/>
        </w:rPr>
        <w:t>This is true. But not sure if this worths mentioning?</w:t>
      </w:r>
    </w:p>
  </w:comment>
  <w:comment w:id="4" w:author="Steve Rozen, Ph.D." w:date="2026-05-28T17:52:00Z" w:initials="SR">
    <w:p w14:paraId="02000000">
      <w:pPr>
        <w:overflowPunct w:val="true"/>
        <w:spacing w:lineRule="auto" w:line="240" w:before="0" w:after="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3" w:author="Mo Liu" w:date="2026-05-29T16:03:00Z" w:initials="ML">
    <w:p w14:paraId="03000000">
      <w:pPr>
        <w:overflowPunct w:val="false"/>
        <w:spacing w:before="0" w:after="0" w:lineRule="auto" w:line="240"/>
        <w:rPr/>
      </w:pPr>
      <w:r>
        <w:annotationRef/>
      </w:r>
      <w:r>
        <w:rPr>
          <w:rFonts w:eastAsia="宋体" w:cs="Noto Sans Arabic UI" w:ascii="Calibri" w:hAnsi="Calibri"/>
          <w:sz w:val="22"/>
          <w:szCs w:val="22"/>
        </w:rPr>
        <w:t>I update via email.</w:t>
      </w:r>
    </w:p>
  </w:comment>
  <w:comment w:id="2" w:author="Unknown Author" w:date="2026-07-02T20:23:00Z" w:initials="">
    <w:p>
      <w:pPr>
        <w:overflowPunct w:val="false"/>
        <w:spacing w:before="0" w:after="0" w:lineRule="auto" w:line="240"/>
        <w:rPr/>
      </w:pPr>
      <w:r>
        <w:annotationRef/>
      </w:r>
      <w:r>
        <w:rPr>
          <w:rFonts w:eastAsia="宋体" w:cs="Noto Sans Arabic UI" w:ascii="Calibri" w:hAnsi="Calibri"/>
          <w:i/>
          <w:sz w:val="16"/>
          <w:szCs w:val="22"/>
        </w:rPr>
        <w:t>Reply to Mo Liu (05/29/2026, 16:03): "..."</w:t>
      </w:r>
    </w:p>
    <w:p>
      <w:pPr>
        <w:overflowPunct w:val="false"/>
        <w:spacing w:before="7172" w:after="5964" w:lineRule="auto" w:line="240"/>
        <w:rPr/>
      </w:pPr>
      <w:r>
        <w:rPr>
          <w:rFonts w:eastAsia="宋体" w:cs="Noto Sans Arabic UI" w:ascii="Calibri" w:hAnsi="Calibri"/>
          <w:sz w:val="20"/>
          <w:szCs w:val="20"/>
        </w:rPr>
        <w:t>Hi Steve,</w:t>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eastAsia="宋体" w:cs="Noto Sans Arabic UI" w:ascii="Calibri" w:hAnsi="Calibri"/>
          <w:sz w:val="20"/>
          <w:szCs w:val="20"/>
        </w:rPr>
        <w:t>I summarized the topographical annotations available on the COSMIC website.</w:t>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eastAsia="宋体" w:cs="Noto Sans Arabic UI" w:ascii="Calibri" w:hAnsi="Calibri"/>
          <w:sz w:val="20"/>
          <w:szCs w:val="20"/>
        </w:rPr>
        <w:t>In our paper, we examined the following four features: replication strand asymmetry, transcription strand asymmetry, genic strand asymmetry, and replication timing.</w:t>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eastAsia="宋体" w:cs="Noto Sans Arabic UI" w:ascii="Calibri" w:hAnsi="Calibri"/>
          <w:sz w:val="20"/>
          <w:szCs w:val="20"/>
        </w:rPr>
        <w:t>On COSMIC, except for ID6, no signature was fully annotated with all four features. So our work indeed provides important topographical annotations for the 83-type signatures.</w:t>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eastAsia="宋体" w:cs="Noto Sans Arabic UI" w:ascii="Calibri" w:hAnsi="Calibri"/>
          <w:sz w:val="20"/>
          <w:szCs w:val="20"/>
        </w:rPr>
        <w:t>I’ve summarized the information in the attached file.</w:t>
      </w:r>
    </w:p>
    <w:p>
      <w:pPr>
        <w:overflowPunct w:val="false"/>
        <w:spacing w:before="7172" w:after="5964" w:lineRule="auto" w:line="240"/>
        <w:rPr/>
      </w:pPr>
      <w:r>
        <w:rPr>
          <w:rFonts w:eastAsia="宋体" w:cs="Noto Sans Arabic UI" w:ascii="Calibri" w:hAnsi="Calibri"/>
          <w:sz w:val="20"/>
          <w:szCs w:val="20"/>
        </w:rPr>
        <w:t>Please let me know if you need more information.</w:t>
      </w:r>
    </w:p>
    <w:p>
      <w:pPr>
        <w:overflowPunct w:val="false"/>
        <w:spacing w:before="7172" w:after="5964" w:lineRule="auto" w:line="240"/>
        <w:rPr/>
      </w:pPr>
      <w:r>
        <w:rPr>
          <w:rFonts w:eastAsia="宋体" w:cs="Noto Sans Arabic UI" w:ascii="Calibri" w:hAnsi="Calibri"/>
          <w:sz w:val="20"/>
          <w:szCs w:val="20"/>
        </w:rPr>
        <w:t>Thanks,Mo</w:t>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eastAsia="宋体" w:cs="Noto Sans Arabic UI" w:ascii="Calibri" w:hAnsi="Calibri"/>
          <w:sz w:val="20"/>
          <w:szCs w:val="20"/>
        </w:rPr>
        <w:t>See COSMICv3.6 ID topographical annotation.xlsx</w:t>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pPr>
        <w:overflowPunct w:val="false"/>
        <w:spacing w:before="7172" w:after="5964" w:lineRule="auto" w:line="240"/>
        <w:rPr/>
      </w:pPr>
      <w:r>
        <w:rPr>
          <w:rFonts w:cs="Noto Sans Arabic UI" w:eastAsia="宋体" w:ascii="Calibri" w:hAnsi="Calibri"/>
          <w:sz w:val="22"/>
          <w:szCs w:val="22"/>
        </w:rPr>
      </w:r>
    </w:p>
    <w:p w14:paraId="04000000">
      <w:pPr>
        <w:overflowPunct w:val="false"/>
        <w:spacing w:before="7172" w:after="5964" w:lineRule="auto" w:line="240"/>
        <w:rPr/>
      </w:pPr>
      <w:r>
        <w:rPr>
          <w:rFonts w:cs="Noto Sans Arabic UI" w:eastAsia="宋体" w:ascii="Calibri" w:hAnsi="Calibri"/>
          <w:sz w:val="22"/>
          <w:szCs w:val="22"/>
        </w:rPr>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4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2"/>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Google Sans">
    <w:altName w:val="Roboto"/>
    <w:charset w:val="01" w:characterSet="utf-8"/>
    <w:family w:val="roman"/>
    <w:pitch w:val="variable"/>
  </w:font>
  <w:font w:name="DejaVu San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image" Target="media/image1.png"/><Relationship Id="rId5" Type="http://schemas.openxmlformats.org/officeDocument/2006/relationships/hyperlink" Target="https://dcc.icgc.org/releases/current/Projects/"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microsoft.com/office/2011/relationships/commentsExtended" Target="commentsExtended.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LibreOffice/26.2.4.2$Linux_X86_64 LibreOffice_project/620$Build-2</Application>
  <AppVersion>15.0000</AppVersion>
  <Pages>40</Pages>
  <Words>9635</Words>
  <Characters>57785</Characters>
  <CharactersWithSpaces>67082</CharactersWithSpaces>
  <Paragraphs>410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2026-07-31T07:22:00Z</dcterms:created>
  <dc:creator>Mo Liu</dc:creator>
  <dc:description/>
  <dc:language>en-US</dc:language>
  <cp:lastModifiedBy/>
  <cp:lastPrinted>2025-06-06T09:23:00Z</cp:lastPrinted>
  <dcterms:modified xsi:type="dcterms:W3CDTF">2026-08-08T20:23:27Z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