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Fonts w:eastAsia="Times New Roman"/>
          <w:b/>
          <w:bCs/>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ind w:hanging="0" w:lef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qtuc1qdBuTrl"/>
      <w:r>
        <w:rPr/>
        <w:t>(Jin et al. 2024)</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cases where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Deletions caused by aristolochic acid</w:t>
      </w:r>
    </w:p>
    <w:p>
      <w:pPr>
        <w:pStyle w:val="normalfirst"/>
        <w:rPr>
          <w:b/>
          <w:bCs/>
          <w:i/>
          <w:iCs/>
        </w:rPr>
      </w:pP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ind w:hanging="0"/>
        <w:rPr/>
      </w:pPr>
      <w:r>
        <w:rPr>
          <w:rFonts w:eastAsia="Times New Roman"/>
          <w:b/>
          <w:bCs/>
          <w:i/>
          <w:iCs/>
        </w:rPr>
        <w:t>APOBEC3A activity and InsDel_Aβ</w:t>
      </w:r>
      <w:r>
        <w:rPr>
          <w:rFonts w:eastAsia="Times New Roman" w:hint="eastAsia"/>
          <w:b/>
          <w:bCs/>
          <w:i/>
          <w:iCs/>
        </w:rPr>
        <w:t xml:space="preserve"> </w:t>
      </w:r>
    </w:p>
    <w:p>
      <w:pPr>
        <w:pStyle w:val="NormalWeb"/>
        <w:ind w:hanging="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pPr>
        <w:pStyle w:val="normalfirst"/>
        <w:rPr>
          <w:shd w:fill="FFFF00" w:val="clear"/>
        </w:rPr>
      </w:pPr>
      <w:r>
        <w:rPr>
          <w:rFonts w:eastAsia="Times New Roman" w:hint="eastAsia"/>
          <w:b/>
          <w:bCs/>
          <w:i/>
          <w:iCs/>
        </w:rPr>
        <w:t>Single-thymine indels in poly-T tracts in MSS tumors</w:t>
      </w:r>
    </w:p>
    <w:p>
      <w:pPr>
        <w:pStyle w:val="normalfirst"/>
        <w:rPr/>
      </w:pPr>
      <w:r>
        <w:rPr>
          <w:rFonts w:eastAsia="Times New Roman"/>
        </w:rPr>
        <w:t xml:space="preserve">Both HDP- and NMF-based de novo signature discovery methods identified 83-, 89-, and 476-type signatures that have similar proportions of deletions and insertions of single thymines in poly-T tracts and that occur almost exclusively in MSS tumors. Previous analysis in the 83-type system allocated insertions and deletions separately to ID1 and ID2 and did not differentiate between signature occurrence in MSS versus MSI-H </w:t>
      </w:r>
      <w:bookmarkStart w:id="19" w:name="ZOTERO_BREF_YU0vhT0bGj2b"/>
      <w:r>
        <w:rPr>
          <w:rFonts w:eastAsia="Times New Roman"/>
        </w:rPr>
        <w:t>(Alexandrov et al. 2020b)</w:t>
      </w:r>
      <w:bookmarkEnd w:id="19"/>
      <w:r>
        <w:rPr>
          <w:rFonts w:eastAsia="Times New Roman"/>
        </w:rPr>
        <w:t xml:space="preserve">. The new signature with similar proportions of insertions and deletions occurs in 2 signature variants in the 89- and 476-type indel classifications, InsDel_Nα and InsDel_Nβ. InsDel_Nα, is rare, occurring in only 55 MSS tumors and 2 MSI-H tumors </w:t>
      </w:r>
      <w:r>
        <w:rPr>
          <w:rFonts w:eastAsia="Times New Roman"/>
          <w:shd w:fill="00FFFF" w:val="clear"/>
        </w:rPr>
        <w:t>(Table &lt;sup_table_indel_N&gt;</w:t>
      </w:r>
      <w:r>
        <w:rPr>
          <w:rFonts w:eastAsia="Times New Roman"/>
        </w:rPr>
        <w:t>). Here we will focus on t</w:t>
      </w:r>
      <w:r>
        <w:rPr>
          <w:rFonts w:eastAsia="Times New Roman" w:hint="eastAsia"/>
        </w:rPr>
        <w:t>he other variant,</w:t>
      </w:r>
      <w:r>
        <w:rPr>
          <w:rFonts w:eastAsia="Times New Roman"/>
        </w:rPr>
        <w:t xml:space="preserve"> InsDel_Nβ which occurs in 2,629 MSS tumors in diverse cancer types and in only 9 MSI-H tumors. </w:t>
      </w:r>
    </w:p>
    <w:p>
      <w:pPr>
        <w:pStyle w:val="normalfirst"/>
        <w:rPr>
          <w:rFonts w:eastAsia="Times New Roman"/>
        </w:rPr>
      </w:pPr>
      <w:r>
        <w:rPr>
          <w:rFonts w:eastAsia="Times New Roman"/>
        </w:rPr>
        <w:t>&lt;present insdel_1_a in combination and isolation&gt;</w:t>
      </w:r>
    </w:p>
    <w:p>
      <w:pPr>
        <w:pStyle w:val="normalfirst"/>
        <w:rPr>
          <w:rFonts w:eastAsia="Times New Roman"/>
        </w:rPr>
      </w:pPr>
      <w:r>
        <w:rPr>
          <w:rFonts w:eastAsia="Times New Roman"/>
        </w:rPr>
        <w:t>&lt;1-1 signature to 1damage / repair process does not hold – continuum between ins and del&gt;</w:t>
      </w:r>
    </w:p>
    <w:p>
      <w:pPr>
        <w:pStyle w:val="normalfirst"/>
        <w:rPr>
          <w:rFonts w:eastAsia="Times New Roman"/>
        </w:rPr>
      </w:pPr>
      <w:r>
        <w:rPr>
          <w:rFonts w:eastAsia="Times New Roman"/>
        </w:rPr>
        <w:t>&lt;figures for this&gt;</w:t>
      </w:r>
    </w:p>
    <w:p>
      <w:pPr>
        <w:pStyle w:val="normalfirst"/>
        <w:rPr>
          <w:rFonts w:eastAsia="Times New Roman"/>
          <w:b/>
          <w:bCs/>
          <w:i/>
          <w:iCs/>
        </w:rPr>
      </w:pPr>
      <w:r>
        <w:rPr>
          <w:rFonts w:eastAsia="Times New Roman"/>
          <w:b/>
          <w:bCs/>
          <w:i/>
          <w:iCs/>
        </w:rPr>
        <w:t>Single-thymine indels in poly-T tracts and microsatellite contraction in MSI-H tumors</w:t>
      </w:r>
    </w:p>
    <w:p>
      <w:pPr>
        <w:pStyle w:val="normalfirst"/>
        <w:rPr>
          <w:rFonts w:eastAsia="Times New Roman"/>
        </w:rPr>
      </w:pPr>
      <w:r>
        <w:rPr>
          <w:rFonts w:eastAsia="Times New Roman"/>
        </w:rPr>
      </w:r>
    </w:p>
    <w:p>
      <w:pPr>
        <w:pStyle w:val="Heading2"/>
        <w:rPr/>
      </w:pPr>
      <w:r>
        <w:rPr/>
        <w:t>The new indel classifications reveal an accurate signature of RNase H2 deficiency</w:t>
      </w:r>
    </w:p>
    <w:p>
      <w:pPr>
        <w:pStyle w:val="Normal"/>
        <w:ind w:hanging="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rPr/>
        <w:t>(Reijns et al. 2022; Koh et al. 2025; Jin et al. 2024)</w:t>
      </w:r>
      <w:bookmarkEnd w:id="20"/>
      <w:r>
        <w:rPr/>
        <w:t xml:space="preserve">. However, we detected a new indel signature, InsDel_F, which better corresponds to RNase H2 deficiency experimental data than ID4 </w:t>
      </w:r>
      <w:r>
        <w:rPr>
          <w:shd w:fill="00FFFF" w:val="clear"/>
        </w:rPr>
        <w:t>(Figures</w:t>
      </w:r>
      <w:r>
        <w:rPr>
          <w:rFonts w:eastAsia="Times New Roman" w:hint="eastAsia"/>
          <w:shd w:fill="00FFFF" w:val="clear"/>
        </w:rPr>
        <w:t xml:space="preserve"> 6, S5</w:t>
      </w:r>
      <w:r>
        <w:rPr>
          <w:shd w:fill="00FFFF"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ind w:hanging="0"/>
        <w:rPr/>
      </w:pPr>
      <w:r>
        <w:rPr/>
        <w:t>We further analyzed the correlations between the i</w:t>
      </w:r>
      <w:r>
        <w:rPr>
          <w:rFonts w:hint="eastAsia"/>
        </w:rPr>
        <w:t>ndel</w:t>
      </w:r>
      <w:r>
        <w:rPr/>
        <w:t xml:space="preserve"> signature activities we derived and the SBS signature activiti</w:t>
      </w:r>
      <w:r>
        <w:rPr>
          <w:shd w:fill="auto" w:val="clear"/>
        </w:rPr>
        <w:t xml:space="preserve">es from </w:t>
      </w:r>
      <w:bookmarkStart w:id="21" w:name="ZOTERO_BREF_EyljJoO9yp1B"/>
      <w:r>
        <w:rPr>
          <w:shd w:fill="auto" w:val="clear"/>
        </w:rPr>
        <w:t>(Degasperi et al. 2022)</w:t>
      </w:r>
      <w:bookmarkEnd w:id="21"/>
      <w:r>
        <w:rPr>
          <w:shd w:fill="auto" w:val="clear"/>
        </w:rPr>
        <w:t xml:space="preserve"> </w:t>
      </w:r>
      <w:r>
        <w:rPr/>
        <w:t>(</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&lt;add hypermutator info to legend&gt;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w:t>
      </w:r>
      <w:r>
        <w:rPr>
          <w:shd w:fill="FFFF00" w:val="clear"/>
        </w:rPr>
        <w:t xml:space="preserve">GI enriched </w:t>
      </w:r>
      <w:r>
        <w:rPr/>
        <w:t xml:space="preserve">cluster.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2" w:name="ZOTERO_BREF_PpR8PYcxNNRP"/>
      <w:r>
        <w:rPr/>
        <w:t>(Lawson et al. 2020)</w:t>
      </w:r>
      <w:bookmarkEnd w:id="22"/>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also, driven by POLE proofreading defects, thus further supporting a link between POLE proofreading defects and leading-strand mutagenesis.</w:t>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w:t>
      </w:r>
      <w:r>
        <w:rPr/>
        <w:t>r</w:t>
      </w:r>
      <w:r>
        <w:rPr/>
        <w:t>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w:t>
      </w:r>
      <w:r>
        <w:rPr>
          <w:shd w:fill="00FFFF" w:val="clear"/>
        </w:rPr>
        <w:t>TOP1</w:t>
      </w:r>
      <w:r>
        <w:rPr/>
        <w:t>-mediated</w:t>
      </w:r>
      <w:r>
        <w:rPr>
          <w:rFonts w:eastAsia="Times New Roman"/>
        </w:rPr>
        <w:t xml:space="preserve"> mutagenesis). Another </w:t>
      </w:r>
      <w:r>
        <w:rPr>
          <w:rFonts w:eastAsia="Times New Roman" w:hint="eastAsia"/>
        </w:rPr>
        <w:t>3</w:t>
      </w:r>
      <w:r>
        <w:rPr>
          <w:rFonts w:eastAsia="Times New Roman"/>
        </w:rPr>
        <w:t xml:space="preserve"> signatures with mutation</w:t>
      </w:r>
      <w:r>
        <w:rPr>
          <w:rFonts w:eastAsia="Times New Roman"/>
        </w:rPr>
        <w:t>s</w:t>
      </w:r>
      <w:r>
        <w:rPr>
          <w:rFonts w:eastAsia="Times New Roman"/>
        </w:rPr>
        <w:t xml:space="preserve">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xml:space="preserve">. </w:t>
      </w:r>
      <w:r>
        <w:rPr>
          <w:rFonts w:eastAsia="Times New Roman"/>
          <w:shd w:fill="FFFF00" w:val="clear"/>
        </w:rPr>
        <w:t>&lt;</w:t>
      </w:r>
      <w:r>
        <w:rPr>
          <w:rFonts w:eastAsia="Times New Roman"/>
          <w:shd w:fill="FFFF00" w:val="clear"/>
        </w:rPr>
        <w:t>parallel structure&gt;</w:t>
      </w:r>
      <w:r>
        <w:rPr>
          <w:rFonts w:eastAsia="Times New Roman"/>
        </w:rPr>
        <w:t>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fill="FFFF00" w:val="clear"/>
        </w:rPr>
        <w:t xml:space="preserve"> &lt;</w:t>
      </w:r>
      <w:r>
        <w:rPr>
          <w:rFonts w:eastAsia="Times New Roman"/>
          <w:shd w:fill="FFFF00" w:val="clear"/>
        </w:rPr>
        <w:t>mentioned anywhere else?&gt;</w:t>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fill="FFFF00" w:val="clear"/>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FFFF00" w:val="clear"/>
        </w:rPr>
        <w:t xml:space="preserve"> </w:t>
      </w:r>
      <w:r>
        <w:rPr>
          <w:rFonts w:eastAsia="Times New Roman" w:hint="eastAsia"/>
          <w:shd w:fill="00FFFF" w:val="clear"/>
        </w:rPr>
        <w:t>(Table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0"/>
      <w:commentRangeStart w:id="1"/>
      <w:commentRangeStart w:id="2"/>
      <w:commentRangeStart w:id="3"/>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r>
      <w:commentRangeEnd w:id="0"/>
      <w:r>
        <w:commentReference w:id="0"/>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3" w:name="ZOTERO_BREF_Jmprd6S6YeS8"/>
      <w:r>
        <w:rPr>
          <w:rFonts w:hint="eastAsia"/>
        </w:rPr>
        <w:t>(Priestley et al. 2019)</w:t>
      </w:r>
      <w:bookmarkEnd w:id="23"/>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4"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2020a. ‘The Repertoire of Mutational Signatures in Human Cancer’. </w:t>
      </w:r>
      <w:r>
        <w:rPr>
          <w:i/>
        </w:rPr>
        <w:t>Nature</w:t>
      </w:r>
      <w:r>
        <w:rPr/>
        <w:t xml:space="preserve"> 578 (7793): 94–101. https://doi.org/10.1038/s41586-020-1943-3.</w:t>
      </w:r>
    </w:p>
    <w:p>
      <w:pPr>
        <w:pStyle w:val="Bibliography1"/>
        <w:rPr/>
      </w:pPr>
      <w:r>
        <w:rPr/>
        <w:t xml:space="preserve">Alexandrov, Ludmil B., Jaegil Kim, Nicholas J. Haradhvala, et al. 2020b.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4"/>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left w:w="108" w:type="dxa"/>
          <w:bottom w:w="0" w:type="dxa"/>
          <w:right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left w:val="single" w:sz="4" w:space="0" w:color="999999"/>
              <w:bottom w:val="single" w:sz="12" w:space="0" w:color="666666"/>
              <w:right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818" r="7605" b="33065"/>
                    <a:stretch>
                      <a:fillRect/>
                    </a:stretch>
                  </pic:blipFill>
                  <pic:spPr bwMode="auto">
                    <a:xfrm>
                      <a:off x="0" y="0"/>
                      <a:ext cx="5247005" cy="483616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(signature 23) in the three classification schemes.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3"/>
                    <a:stretch>
                      <a:fillRect/>
                    </a:stretch>
                  </pic:blipFill>
                  <pic:spPr bwMode="auto">
                    <a:xfrm>
                      <a:off x="0" y="0"/>
                      <a:ext cx="5939155" cy="69513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5935345" cy="381825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3"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2"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1" w:author="Mo Liu" w:date="2026-05-29T16:03:00Z" w:initials="ML">
    <w:p w14:paraId="03000000">
      <w:pPr>
        <w:overflowPunct w:val="false"/>
        <w:spacing w:lineRule="auto" w:line="240" w:before="0" w:after="0"/>
        <w:rPr/>
      </w:pPr>
      <w:r>
        <w:annotationRef/>
      </w:r>
      <w:r>
        <w:rPr>
          <w:rFonts w:eastAsia="宋体" w:cs="Noto Sans Arabic UI" w:ascii="Calibri" w:hAnsi="Calibri"/>
          <w:sz w:val="22"/>
          <w:szCs w:val="22"/>
        </w:rPr>
        <w:t>I update via email.</w:t>
      </w:r>
    </w:p>
  </w:comment>
  <w:comment w:id="0" w:author="Unknown Author" w:date="2026-07-02T20:23:00Z" w:initials="">
    <w:p>
      <w:pPr>
        <w:overflowPunct w:val="false"/>
        <w:spacing w:lineRule="auto" w:line="240" w:before="0" w:after="0"/>
        <w:rPr/>
      </w:pPr>
      <w:r>
        <w:annotationRef/>
      </w:r>
      <w:r>
        <w:rPr>
          <w:rFonts w:eastAsia="宋体" w:cs="Noto Sans Arabic UI" w:ascii="Calibri" w:hAnsi="Calibri"/>
          <w:i/>
          <w:sz w:val="16"/>
          <w:szCs w:val="22"/>
        </w:rPr>
        <w:t>Reply to Mo Liu (05/29/2026, 16:03): "..."</w:t>
      </w:r>
    </w:p>
    <w:p>
      <w:pPr>
        <w:overflowPunct w:val="false"/>
        <w:spacing w:lineRule="auto" w:line="240" w:before="1621" w:after="0"/>
        <w:rPr/>
      </w:pPr>
      <w:r>
        <w:rPr>
          <w:rFonts w:eastAsia="宋体" w:cs="Noto Sans Arabic UI" w:ascii="Calibri" w:hAnsi="Calibri"/>
          <w:sz w:val="20"/>
          <w:szCs w:val="20"/>
        </w:rPr>
        <w:t>Hi Steve,</w:t>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eastAsia="宋体" w:cs="Noto Sans Arabic UI" w:ascii="Calibri" w:hAnsi="Calibri"/>
          <w:sz w:val="20"/>
          <w:szCs w:val="20"/>
        </w:rPr>
        <w:t>I summarized the topographical annotations available on the COSMIC website.</w:t>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eastAsia="宋体" w:cs="Noto Sans Arabic UI" w:ascii="Calibri" w:hAnsi="Calibri"/>
          <w:sz w:val="20"/>
          <w:szCs w:val="20"/>
        </w:rPr>
        <w:t>I’ve summarized the information in the attached file.</w:t>
      </w:r>
    </w:p>
    <w:p>
      <w:pPr>
        <w:overflowPunct w:val="false"/>
        <w:spacing w:lineRule="auto" w:line="240" w:before="1621" w:after="0"/>
        <w:rPr/>
      </w:pPr>
      <w:r>
        <w:rPr>
          <w:rFonts w:eastAsia="宋体" w:cs="Noto Sans Arabic UI" w:ascii="Calibri" w:hAnsi="Calibri"/>
          <w:sz w:val="20"/>
          <w:szCs w:val="20"/>
        </w:rPr>
        <w:t>Please let me know if you need more information.</w:t>
      </w:r>
    </w:p>
    <w:p>
      <w:pPr>
        <w:overflowPunct w:val="false"/>
        <w:spacing w:lineRule="auto" w:line="240" w:before="1621" w:after="0"/>
        <w:rPr/>
      </w:pPr>
      <w:r>
        <w:rPr>
          <w:rFonts w:eastAsia="宋体" w:cs="Noto Sans Arabic UI" w:ascii="Calibri" w:hAnsi="Calibri"/>
          <w:sz w:val="20"/>
          <w:szCs w:val="20"/>
        </w:rPr>
        <w:t>Thanks,Mo</w:t>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eastAsia="宋体" w:cs="Noto Sans Arabic UI" w:ascii="Calibri" w:hAnsi="Calibri"/>
          <w:sz w:val="20"/>
          <w:szCs w:val="20"/>
        </w:rPr>
        <w:t>See COSMICv3.6 ID topographical annotation.xlsx</w:t>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pPr>
        <w:overflowPunct w:val="false"/>
        <w:spacing w:lineRule="auto" w:line="240" w:before="1621" w:after="0"/>
        <w:rPr/>
      </w:pPr>
      <w:r>
        <w:rPr>
          <w:rFonts w:cs="Noto Sans Arabic UI" w:eastAsia="宋体" w:ascii="Calibri" w:hAnsi="Calibri"/>
          <w:sz w:val="22"/>
          <w:szCs w:val="22"/>
        </w:rPr>
      </w:r>
    </w:p>
    <w:p w14:paraId="04000000">
      <w:pPr>
        <w:overflowPunct w:val="false"/>
        <w:spacing w:lineRule="auto" w:line="240" w:before="1621" w:after="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2"/>
    <w:family w:val="swiss"/>
    <w:pitch w:val="variable"/>
  </w:font>
  <w:font w:name="Liberation Sans">
    <w:altName w:val="Arial"/>
    <w:charset w:val="01"/>
    <w:family w:val="swiss"/>
    <w:pitch w:val="variable"/>
  </w:font>
  <w:font w:name="Google Sans">
    <w:altName w:val="Roboto"/>
    <w:charset w:val="01"/>
    <w:family w:val="roman"/>
    <w:pitch w:val="variable"/>
  </w:font>
  <w:font w:name="DejaVu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jc w:val="righ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TotalTime>
  <Application>LibreOffice/26.2.4.2$Linux_X86_64 LibreOffice_project/620$Build-2</Application>
  <AppVersion>15.0000</AppVersion>
  <Pages>39</Pages>
  <Words>9645</Words>
  <Characters>57668</Characters>
  <CharactersWithSpaces>66967</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2026-08-16T11:18:00Z</dcterms:created>
  <dc:creator>Mo Liu</dc:creator>
  <dc:description/>
  <dc:language>en-US</dc:language>
  <cp:lastModifiedBy/>
  <cp:lastPrinted>2025-06-06T09:23:00Z</cp:lastPrinted>
  <dcterms:modified xsi:type="dcterms:W3CDTF">2026-08-20T21:37:26Z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