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w:t>
      </w:r>
      <w:r>
        <w:rPr>
          <w:shd w:fill="FFFF00" w:val="clear"/>
        </w:rPr>
        <w:t>Xue Ming Wu1 &lt;correct position?&gt;</w:t>
      </w:r>
      <w:r>
        <w:rPr/>
        <w:t>, 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They ideally correspond to specific mutagenic mechanisms and provide insight into DNA damage and repair, into endogenous and environmental exposures, and can guide therapeutic interventions. Study of single-base mutations has been dominant in mutational signature research, while small insertions and deletions (“indels”) have been under-studied. Koh, Nanda, and colleagues recently published a new classification of indels into 89 mutation types, a classification that enables finer distinctions between signature </w:t>
      </w:r>
    </w:p>
    <w:p>
      <w:pPr>
        <w:pStyle w:val="normalfirst"/>
        <w:rPr/>
      </w:pPr>
      <w:r>
        <w:rPr>
          <w:shd w:fill="auto" w:val="clear"/>
        </w:rPr>
        <w:t xml:space="preserve">Here, we analyzed somatic indels in 6,975 whole genomes from 32 cancer types to create comprehensive collections of signatures in both the new 89-type classification and the widely-used 83-type classification. We extracted signatures using methods based on hierarchical Dirichlet processes and on non-negative matrix factorization, and results were consistent across the two methods. We identified a comprehensive set of 45 mutational signatures in the new 89-type classification and 33 signatures in the older 83-type classification. In the 89-type classification, we re-identified 18 of the 33 non-artifactual signatures in presented by Koh, Nanda, and colleagues and identified 28 novel signatures. Of the signatures that we did not re-identify, 8 could be reconstructed by ≤ 3 other signatures in the 89-type classification, and 7 were likely not present in the data we analyzed. We also detected 15 novel signatures in the older 83-type classification.  Although algorithmic translation between signatures in the 89-type and 83-type classifications is impossible, we leveraged tumor mutational spectra dominated by individual signatures to exhaustively elucidate the correspondences between signatures in the two classification systems.   </w:t>
      </w:r>
      <w:r>
        <w:rPr/>
        <w:t xml:space="preserve"> </w:t>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is caused by transcription-associated mutagenesis by topoisomerase 1 at sites of genomically incorporated ribonucleotides.</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4">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mutational signatures and spectra in the two classification systems is impossible, even using a more fine-grained system of 476 indel types that was also defined in </w:t>
      </w:r>
      <w:r>
        <w:rPr>
          <w:shd w:fill="FFFF00" w:val="clear"/>
        </w:rPr>
        <w:t>&lt;ref koh et al.&gt; (Table S XXXX)</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COSMIC83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There advantages to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of 2,780 cancer genomes from (The ICGC/TCGA Pan-Cancer Analysis of Whole Genomes Consortium et al. 2020) and 3,430 cancer genomes from the Hartwig Medical Foundation (HMF) (Priestley et al. 2019) encompassing 32 cancer types  (spectra in Supplementary Tables S</w:t>
      </w:r>
      <w:r>
        <w:rPr>
          <w:rFonts w:hint="eastAsia"/>
          <w:shd w:fill="auto" w:val="clear"/>
        </w:rPr>
        <w:t>8 and S9)</w:t>
      </w:r>
      <w:r>
        <w:rPr>
          <w:shd w:fill="auto" w:val="clear"/>
        </w:rPr>
        <w:t xml:space="preserve">.  </w:t>
      </w:r>
      <w:r>
        <w:rPr>
          <w:shd w:fill="77BC65" w:val="clear"/>
        </w:rPr>
        <w:t>&lt;Note our types: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We identified a comprehensive set of</w:t>
      </w:r>
      <w:r>
        <w:rPr>
          <w:shd w:fill="FFFF00" w:val="clear"/>
        </w:rPr>
        <w:t xml:space="preserve"> 33 </w:t>
      </w:r>
      <w:r>
        <w:rPr>
          <w:shd w:fill="auto" w:val="clear"/>
        </w:rPr>
        <w:t>signatures in the C</w:t>
      </w:r>
      <w:r>
        <w:rPr>
          <w:rFonts w:hint="eastAsia"/>
          <w:shd w:fill="auto" w:val="clear"/>
        </w:rPr>
        <w:t>OSMI</w:t>
      </w:r>
      <w:r>
        <w:rPr>
          <w:shd w:fill="auto" w:val="clear"/>
        </w:rPr>
        <w:t xml:space="preserve">C83 classification and </w:t>
      </w:r>
      <w:r>
        <w:rPr>
          <w:shd w:fill="FFFF00" w:val="clear"/>
        </w:rPr>
        <w:t>45</w:t>
      </w:r>
      <w:r>
        <w:rPr>
          <w:shd w:fill="auto" w:val="clear"/>
        </w:rPr>
        <w:t xml:space="preserve"> mutational signatures in the K</w:t>
      </w:r>
      <w:r>
        <w:rPr>
          <w:rFonts w:hint="eastAsia"/>
          <w:shd w:fill="auto" w:val="clear"/>
        </w:rPr>
        <w:t>oh89 classification (Figures 2,3, and Table 1)</w:t>
      </w:r>
      <w:r>
        <w:rPr>
          <w:shd w:fill="auto" w:val="clear"/>
        </w:rPr>
        <w:t xml:space="preserve">.  We re-identified 18 of the 25 COSMIC indel reference signatures, and detected </w:t>
      </w:r>
      <w:r>
        <w:rPr>
          <w:shd w:fill="FFFF00" w:val="clear"/>
        </w:rPr>
        <w:t>15</w:t>
      </w:r>
      <w:r>
        <w:rPr>
          <w:shd w:fill="auto" w:val="clear"/>
        </w:rPr>
        <w:t xml:space="preserve"> that were novel</w:t>
      </w:r>
    </w:p>
    <w:p>
      <w:pPr>
        <w:pStyle w:val="normalfirst"/>
        <w:rPr>
          <w:shd w:fill="auto" w:val="clear"/>
        </w:rPr>
      </w:pPr>
      <w:r>
        <w:rPr>
          <w:shd w:fill="auto" w:val="clear"/>
        </w:rPr>
        <w:t>&lt;Table 1 should show similarity to cosmic sig plus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reporting analysis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w:t>
      </w:r>
      <w:r>
        <w:rPr>
          <w:rFonts w:hint="eastAsia"/>
          <w:shd w:fill="FFFF00" w:val="clear"/>
        </w:rPr>
        <w:t>confirm this</w:t>
      </w:r>
      <w:r>
        <w:rPr>
          <w:rFonts w:hint="eastAsia"/>
        </w:rPr>
        <w:t>&gt;)</w:t>
      </w:r>
      <w:r>
        <w:rPr/>
        <w:t>.</w:t>
      </w:r>
    </w:p>
    <w:p>
      <w:pPr>
        <w:pStyle w:val="normalfirst"/>
        <w:rPr>
          <w:highlight w:val="none"/>
          <w:shd w:fill="FFFF00" w:val="clear"/>
        </w:rPr>
      </w:pPr>
      <w:r>
        <w:rPr>
          <w:shd w:fill="auto" w:val="clear"/>
        </w:rPr>
        <w:t xml:space="preserve">We re-identified </w:t>
      </w:r>
      <w:r>
        <w:rPr>
          <w:shd w:fill="FF7B59" w:val="clear"/>
        </w:rPr>
        <w:t>18</w:t>
      </w:r>
      <w:r>
        <w:rPr>
          <w:shd w:fill="auto" w:val="clear"/>
        </w:rPr>
        <w:t xml:space="preserve"> of the 33 non-artifactual signatures in </w:t>
      </w:r>
      <w:r>
        <w:rPr>
          <w:shd w:fill="FFFF00" w:val="clear"/>
        </w:rPr>
        <w:t xml:space="preserve">&lt;ref the Koh paper&gt; </w:t>
      </w:r>
      <w:r>
        <w:rPr>
          <w:shd w:fill="auto" w:val="clear"/>
        </w:rPr>
        <w:t xml:space="preserve">and identified </w:t>
      </w:r>
      <w:r>
        <w:rPr>
          <w:shd w:fill="FF7B59" w:val="clear"/>
        </w:rPr>
        <w:t xml:space="preserve">28 </w:t>
      </w:r>
      <w:r>
        <w:rPr>
          <w:shd w:fill="auto" w:val="clear"/>
        </w:rPr>
        <w:t xml:space="preserve">novel signatures in the Koh89 classification. Of the signatures in &lt;ref the Koh paper&gt; that we did not re-identify, 8 can be reconstructed by </w:t>
      </w:r>
      <w:r>
        <w:rPr>
          <w:rFonts w:eastAsia="Liberation Serif" w:cs="Liberation Serif" w:ascii="Liberation Serif" w:hAnsi="Liberation Serif"/>
          <w:shd w:fill="auto" w:val="clear"/>
        </w:rPr>
        <w:t>≤</w:t>
      </w:r>
      <w:r>
        <w:rPr>
          <w:rFonts w:eastAsia="DejaVu Sans" w:cs="Times New Roman"/>
          <w:shd w:fill="auto" w:val="clear"/>
        </w:rPr>
        <w:t xml:space="preserve"> 3 other signatures in the Koh89 classification &lt;</w:t>
      </w:r>
      <w:r>
        <w:rPr>
          <w:rFonts w:eastAsia="DejaVu Sans" w:cs="Times New Roman"/>
          <w:shd w:fill="auto" w:val="clear"/>
        </w:rPr>
        <w:t xml:space="preserve">ref to some internal sup fig&gt; </w:t>
      </w:r>
      <w:r>
        <w:rPr>
          <w:rFonts w:eastAsia="DejaVu Sans" w:cs="Times New Roman"/>
          <w:shd w:fill="auto" w:val="clear"/>
        </w:rPr>
        <w:t>, and 7 were not found &lt;</w:t>
      </w:r>
      <w:r>
        <w:rPr>
          <w:rFonts w:eastAsia="DejaVu Sans" w:cs="Times New Roman"/>
          <w:shd w:fill="FFFF00" w:val="clear"/>
        </w:rPr>
        <w:t xml:space="preserve">not present? How do we know this?&gt; </w:t>
      </w:r>
      <w:r>
        <w:rPr>
          <w:rFonts w:eastAsia="DejaVu Sans" w:cs="Times New Roman"/>
          <w:shd w:fill="auto" w:val="clear"/>
        </w:rPr>
        <w:t>in the data we analyzed.</w:t>
      </w:r>
      <w:r>
        <w:rPr>
          <w:shd w:fill="auto" w:val="clear"/>
        </w:rPr>
        <w:t xml:space="preserve"> </w:t>
      </w:r>
    </w:p>
    <w:p>
      <w:pPr>
        <w:pStyle w:val="normalfirst"/>
        <w:rPr>
          <w:highlight w:val="none"/>
          <w:shd w:fill="FFFF00" w:val="clear"/>
        </w:rPr>
      </w:pPr>
      <w:r>
        <w:rPr>
          <w:shd w:fill="FFFF00" w:val="clear"/>
        </w:rPr>
        <w:t>Koh paper had 37 signatures, of which 4 were deemed artifacts</w:t>
      </w:r>
    </w:p>
    <w:p>
      <w:pPr>
        <w:pStyle w:val="normalfirst"/>
        <w:rPr>
          <w:highlight w:val="none"/>
          <w:shd w:fill="FFFF00" w:val="clear"/>
        </w:rPr>
      </w:pPr>
      <w:r>
        <w:rPr>
          <w:shd w:fill="FFFF00" w:val="clear"/>
        </w:rPr>
        <w:t>Did any of the signatures in the Koh paper correspond to novel COSMIC83 / 83-type signatures?</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Explain C and H sigs in fig 2 legend; explain insdel in fig 3 legend, Put this in 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COSMIC83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H_ID33 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0"/>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0"/>
      <w:r>
        <w:commentReference w:id="0"/>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7">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8">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10">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7:20:00Z" w:initials="ML">
    <w:p>
      <w:pPr>
        <w:overflowPunct w:val="false"/>
        <w:spacing w:lineRule="auto" w:line="240" w:before="0" w:after="0"/>
        <w:rPr/>
      </w:pPr>
      <w:r>
        <w:annotationRef/>
      </w:r>
      <w:r>
        <w:rPr>
          <w:rFonts w:eastAsia="DejaVu Sans" w:cs="Noto Sans Arabic UI" w:ascii="Liberation Serif" w:hAnsi="Liberation Serif"/>
          <w:lang w:val="en-US" w:eastAsia="en-US" w:bidi="en-US"/>
        </w:rPr>
        <w:t>Is this appropriate?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comments" Target="comment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1748</TotalTime>
  <Application>LibreOffice/25.8.3.2$Linux_X86_64 LibreOffice_project/580$Build-2</Application>
  <AppVersion>15.0000</AppVersion>
  <Pages>39</Pages>
  <Words>10113</Words>
  <Characters>60657</Characters>
  <CharactersWithSpaces>70606</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2025-12-18T19:20:32Z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