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9EE1" w14:textId="77777777" w:rsidR="00183FBA"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1B0E12D" w14:textId="77777777" w:rsidR="00183FBA"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39BB411B" w14:textId="77777777" w:rsidR="00183FBA" w:rsidRDefault="00000000">
      <w:pPr>
        <w:pStyle w:val="authorsandaff"/>
      </w:pPr>
      <w:r>
        <w:t xml:space="preserve">1 Sino-French Hoffmann Institute, School of Basic Medical Sciences, </w:t>
      </w:r>
      <w:r>
        <w:rPr>
          <w:rFonts w:eastAsia="Times New Roman" w:hint="eastAsia"/>
        </w:rPr>
        <w:t xml:space="preserve">The First Affiliated Hospital, Guangzhou </w:t>
      </w:r>
      <w:r>
        <w:t>Medical University, Guangzhou, Guangdong 511436, China</w:t>
      </w:r>
    </w:p>
    <w:p w14:paraId="5FBD86C4" w14:textId="77777777" w:rsidR="00183FBA" w:rsidRDefault="00000000">
      <w:pPr>
        <w:pStyle w:val="authorsandaff"/>
      </w:pPr>
      <w:r>
        <w:rPr>
          <w:rFonts w:hint="eastAsia"/>
        </w:rPr>
        <w:t xml:space="preserve">2 </w:t>
      </w:r>
      <w:r>
        <w:t>Molecular Cancer Research Center, Zhongshan School of Medicine, Sun Yat-sen University Shenzhen Campus, Shenzhen, 518107, China</w:t>
      </w:r>
    </w:p>
    <w:p w14:paraId="04E804DE" w14:textId="77777777" w:rsidR="00183FBA" w:rsidRDefault="00000000">
      <w:pPr>
        <w:pStyle w:val="authorsandaff"/>
      </w:pPr>
      <w:r>
        <w:rPr>
          <w:rFonts w:hint="eastAsia"/>
        </w:rPr>
        <w:t xml:space="preserve">3 </w:t>
      </w:r>
      <w:r>
        <w:t>Imaging Platform, Broad Institute of Harvard and MIT, Cambridge, Massachusetts, United States</w:t>
      </w:r>
    </w:p>
    <w:p w14:paraId="540F6F32" w14:textId="77777777" w:rsidR="00183FBA" w:rsidRDefault="00000000">
      <w:pPr>
        <w:pStyle w:val="authorsandaff"/>
      </w:pPr>
      <w:r>
        <w:rPr>
          <w:rFonts w:hint="eastAsia"/>
        </w:rPr>
        <w:t>4</w:t>
      </w:r>
      <w:r>
        <w:t xml:space="preserve"> Department of Biostatistics and Bioinformatics, Duke University School of Medicine, Durham, North Carolina, 27710, United States</w:t>
      </w:r>
    </w:p>
    <w:p w14:paraId="6F29B3FE" w14:textId="77777777" w:rsidR="00183FBA" w:rsidRDefault="00000000">
      <w:pPr>
        <w:pStyle w:val="authorsandaff"/>
      </w:pPr>
      <w:r>
        <w:t xml:space="preserve"># Corresponding authors: E-mails: </w:t>
      </w:r>
      <w:hyperlink r:id="rId8">
        <w:r>
          <w:rPr>
            <w:rFonts w:hint="eastAsia"/>
          </w:rPr>
          <w:t>mo.liu@gzhmu.edu.cn</w:t>
        </w:r>
      </w:hyperlink>
      <w:r>
        <w:rPr>
          <w:rFonts w:hint="eastAsia"/>
        </w:rPr>
        <w:t xml:space="preserve">, </w:t>
      </w:r>
      <w:hyperlink r:id="rId9">
        <w:r>
          <w:rPr>
            <w:rStyle w:val="Hyperlink"/>
            <w:rFonts w:hint="eastAsia"/>
          </w:rPr>
          <w:t>steverozen@pm.me</w:t>
        </w:r>
      </w:hyperlink>
    </w:p>
    <w:p w14:paraId="2DEB0784" w14:textId="77777777" w:rsidR="00183FBA" w:rsidRDefault="00000000">
      <w:pPr>
        <w:pStyle w:val="authorsandaff"/>
      </w:pPr>
      <w:r>
        <w:rPr>
          <w:rFonts w:hint="eastAsia"/>
        </w:rPr>
        <w:t xml:space="preserve">* </w:t>
      </w:r>
      <w:r>
        <w:t>These authors contributed equally</w:t>
      </w:r>
    </w:p>
    <w:p w14:paraId="2C8C30B1" w14:textId="77777777" w:rsidR="00183FBA" w:rsidRDefault="00000000">
      <w:pPr>
        <w:pStyle w:val="Heading1"/>
        <w:spacing w:before="0"/>
        <w:rPr>
          <w:rFonts w:ascii="Google Sans;Roboto;Arial;sans-s" w:eastAsia="Times New Roman" w:hAnsi="Google Sans;Roboto;Arial;sans-s"/>
          <w:sz w:val="20"/>
          <w:szCs w:val="20"/>
        </w:rPr>
      </w:pPr>
      <w:r>
        <w:br w:type="page"/>
      </w:r>
    </w:p>
    <w:p w14:paraId="1934B2B2" w14:textId="77777777" w:rsidR="00183FBA" w:rsidRDefault="00000000">
      <w:pPr>
        <w:pStyle w:val="Heading1"/>
        <w:spacing w:before="0"/>
      </w:pPr>
      <w:r>
        <w:rPr>
          <w:rFonts w:hint="eastAsia"/>
        </w:rPr>
        <w:lastRenderedPageBreak/>
        <w:t>Summary</w:t>
      </w:r>
    </w:p>
    <w:p w14:paraId="15B81994" w14:textId="77777777" w:rsidR="00183FBA"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Times New Roman"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52B9FE1C" w14:textId="77777777" w:rsidR="00183FBA" w:rsidRDefault="00000000">
      <w:pPr>
        <w:pStyle w:val="Heading1"/>
        <w:spacing w:before="0"/>
      </w:pPr>
      <w:r>
        <w:rPr>
          <w:rFonts w:hint="eastAsia"/>
        </w:rPr>
        <w:t>150</w:t>
      </w:r>
      <w:r>
        <w:br w:type="page"/>
      </w:r>
    </w:p>
    <w:p w14:paraId="44564C9E" w14:textId="77777777" w:rsidR="00183FBA" w:rsidRDefault="00000000">
      <w:pPr>
        <w:spacing w:line="360" w:lineRule="auto"/>
        <w:ind w:firstLine="0"/>
        <w:rPr>
          <w:rFonts w:eastAsia="Times New Roman"/>
          <w:b/>
          <w:bCs/>
        </w:rPr>
      </w:pPr>
      <w:r>
        <w:rPr>
          <w:rFonts w:eastAsia="Times New Roman" w:hint="eastAsia"/>
          <w:b/>
          <w:bCs/>
        </w:rPr>
        <w:lastRenderedPageBreak/>
        <w:t>Graphical Abstract</w:t>
      </w:r>
    </w:p>
    <w:p w14:paraId="3DC61813" w14:textId="77777777" w:rsidR="00183FBA" w:rsidRDefault="00183FBA">
      <w:pPr>
        <w:spacing w:line="360" w:lineRule="auto"/>
        <w:ind w:firstLine="0"/>
        <w:rPr>
          <w:rFonts w:eastAsia="Times New Roman"/>
          <w:b/>
          <w:bCs/>
        </w:rPr>
      </w:pPr>
    </w:p>
    <w:p w14:paraId="73966019" w14:textId="77777777" w:rsidR="00183FBA" w:rsidRDefault="00000000">
      <w:pPr>
        <w:spacing w:line="360" w:lineRule="auto"/>
        <w:ind w:firstLine="0"/>
        <w:rPr>
          <w:rFonts w:eastAsia="Times New Roman"/>
          <w:b/>
          <w:bCs/>
        </w:rPr>
      </w:pPr>
      <w:r>
        <w:rPr>
          <w:rFonts w:eastAsia="Times New Roman"/>
          <w:b/>
          <w:bCs/>
        </w:rPr>
        <w:t>Highlights</w:t>
      </w:r>
    </w:p>
    <w:p w14:paraId="6AF19F0F" w14:textId="77777777" w:rsidR="00183FBA" w:rsidRDefault="00000000">
      <w:pPr>
        <w:numPr>
          <w:ilvl w:val="0"/>
          <w:numId w:val="3"/>
        </w:numPr>
        <w:spacing w:line="360" w:lineRule="auto"/>
        <w:rPr>
          <w:rFonts w:eastAsia="Times New Roman"/>
        </w:rPr>
      </w:pPr>
      <w:r>
        <w:rPr>
          <w:rFonts w:eastAsia="Times New Roman"/>
        </w:rPr>
        <w:t>Repertoire of indel signatures across 6,975 genomes in 3 indel classification schemes</w:t>
      </w:r>
    </w:p>
    <w:p w14:paraId="526FE594" w14:textId="77777777" w:rsidR="00183FBA" w:rsidRDefault="00000000">
      <w:pPr>
        <w:numPr>
          <w:ilvl w:val="0"/>
          <w:numId w:val="3"/>
        </w:numPr>
        <w:spacing w:line="360" w:lineRule="auto"/>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14:paraId="29C74498" w14:textId="77777777" w:rsidR="00183FBA" w:rsidRDefault="00000000">
      <w:pPr>
        <w:numPr>
          <w:ilvl w:val="0"/>
          <w:numId w:val="3"/>
        </w:numPr>
        <w:spacing w:line="360" w:lineRule="auto"/>
        <w:rPr>
          <w:rFonts w:eastAsia="Times New Roman"/>
        </w:rPr>
      </w:pPr>
      <w:r>
        <w:rPr>
          <w:rFonts w:eastAsia="Times New Roman"/>
        </w:rPr>
        <w:t>Integrative topography across transcription, replication, and genic regions</w:t>
      </w:r>
    </w:p>
    <w:p w14:paraId="5C9F4F49" w14:textId="77777777" w:rsidR="00183FBA" w:rsidRDefault="00000000">
      <w:pPr>
        <w:pStyle w:val="BodyText"/>
        <w:numPr>
          <w:ilvl w:val="0"/>
          <w:numId w:val="3"/>
        </w:numPr>
      </w:pPr>
      <w:r>
        <w:t>Website and software for signature browsing and matrix generation from VCF files</w:t>
      </w:r>
    </w:p>
    <w:p w14:paraId="66B19C14" w14:textId="77777777" w:rsidR="00183FBA" w:rsidRDefault="00000000">
      <w:pPr>
        <w:pStyle w:val="BodyText"/>
        <w:ind w:left="720" w:firstLine="0"/>
      </w:pPr>
      <w:r>
        <w:rPr>
          <w:noProof/>
        </w:rPr>
        <w:drawing>
          <wp:anchor distT="0" distB="0" distL="0" distR="0" simplePos="0" relativeHeight="8" behindDoc="0" locked="0" layoutInCell="0" allowOverlap="1" wp14:anchorId="162BDA82" wp14:editId="2B6A6534">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715000" cy="5715000"/>
                    </a:xfrm>
                    <a:prstGeom prst="rect">
                      <a:avLst/>
                    </a:prstGeom>
                    <a:noFill/>
                  </pic:spPr>
                </pic:pic>
              </a:graphicData>
            </a:graphic>
          </wp:anchor>
        </w:drawing>
      </w:r>
      <w:r>
        <w:br w:type="page"/>
      </w:r>
    </w:p>
    <w:p w14:paraId="46BD8F12" w14:textId="77777777" w:rsidR="00183FBA" w:rsidRDefault="00000000">
      <w:pPr>
        <w:pStyle w:val="Heading1"/>
        <w:spacing w:before="0"/>
      </w:pPr>
      <w:r>
        <w:lastRenderedPageBreak/>
        <w:t>Introduction</w:t>
      </w:r>
    </w:p>
    <w:p w14:paraId="71267D47" w14:textId="77777777" w:rsidR="00183FB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6CA10187" w14:textId="77777777" w:rsidR="00183FB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77C4983E" w14:textId="77777777" w:rsidR="00183FBA" w:rsidRDefault="00000000">
      <w:r>
        <w:lastRenderedPageBreak/>
        <w:t>Mutational signature research has tended to focus less on indel rather than SBS signatures, and symptomatic of this COSMIC v3.</w:t>
      </w:r>
      <w:r>
        <w:rPr>
          <w:rFonts w:eastAsia="Times New Roman"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4C117AA2" w14:textId="77777777" w:rsidR="00183FB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559A7949" w14:textId="77777777" w:rsidR="00183FBA"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22BB698" w14:textId="77777777" w:rsidR="00183FBA"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w:t>
      </w:r>
      <w:r>
        <w:lastRenderedPageBreak/>
        <w:t xml:space="preserve">types indels of a single T or C according to the non-T (respectively, non-C) flaking bases. This dramatically improves discrimination between mutational spectra and signatures containing single-base indels, which are present in most signatures. </w:t>
      </w:r>
    </w:p>
    <w:p w14:paraId="0208AD3B" w14:textId="77777777" w:rsidR="00183FBA"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21EA52E7" w14:textId="77777777" w:rsidR="00183FB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w:t>
      </w:r>
      <w:r>
        <w:lastRenderedPageBreak/>
        <w:t>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val="clear" w:color="auto" w:fill="00FFFF"/>
        </w:rPr>
        <w:t>(</w:t>
      </w:r>
      <w:r>
        <w:rPr>
          <w:rFonts w:eastAsia="Times New Roman"/>
          <w:shd w:val="clear" w:color="auto" w:fill="00FFFF"/>
        </w:rPr>
        <w:t>https://indelsig.net</w:t>
      </w:r>
      <w:r>
        <w:rPr>
          <w:rFonts w:eastAsia="Times New Roman" w:hint="eastAsia"/>
          <w:shd w:val="clear" w:color="auto" w:fill="00FFFF"/>
        </w:rPr>
        <w:t>)</w:t>
      </w:r>
      <w:r>
        <w:t xml:space="preserve"> </w:t>
      </w:r>
    </w:p>
    <w:p w14:paraId="357B30AD" w14:textId="77777777" w:rsidR="00183FBA" w:rsidRDefault="00000000">
      <w:pPr>
        <w:pStyle w:val="Heading1"/>
      </w:pPr>
      <w:r>
        <w:t>Results</w:t>
      </w:r>
    </w:p>
    <w:p w14:paraId="520735A3" w14:textId="77777777" w:rsidR="00183FBA" w:rsidRDefault="00000000">
      <w:pPr>
        <w:pStyle w:val="Heading2"/>
      </w:pPr>
      <w:r>
        <w:t>Repertoire of indel signatures based on de novo signature discovery</w:t>
      </w:r>
    </w:p>
    <w:p w14:paraId="79A1916B" w14:textId="77777777" w:rsidR="00183FBA" w:rsidRDefault="00000000">
      <w:pPr>
        <w:pStyle w:val="normalfirst"/>
      </w:pPr>
      <w:r>
        <w:t>We identified indel signatures in all three classifications from a total of 6,975 cancer genomes encompassing 3</w:t>
      </w:r>
      <w:r>
        <w:rPr>
          <w:rFonts w:eastAsia="Times New Roman"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t xml:space="preserve"> were discovered. Further evidence of their robustness derives from the identification of tumor spectra dominated by a single signature. For</w:t>
      </w:r>
      <w:r>
        <w:rPr>
          <w:rFonts w:eastAsia="Times New Roman" w:hint="eastAsia"/>
        </w:rPr>
        <w:t xml:space="preserve"> 35 </w:t>
      </w:r>
      <w:r>
        <w:t>of the 44 signatures, there were tumor spectra with cosine similarity &gt;</w:t>
      </w:r>
      <w:r>
        <w:rPr>
          <w:rFonts w:eastAsia="Times New Roman"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and 26 were not previously described to our knowlege (Table 1). We also carried out signature discovery in spectra in the 83-type classification, and discovered 34 signatures, of which 20 were similar to signatures in the </w:t>
      </w:r>
      <w:r>
        <w:lastRenderedPageBreak/>
        <w:t xml:space="preserve">COSMIC reference set, and 3 additional signatures were similar to signatures identified in </w:t>
      </w:r>
      <w:bookmarkStart w:id="15" w:name="ZOTERO_BREF_qtuc1qdBuTrl"/>
      <w:r>
        <w:t>(Jin et al. 2024)</w:t>
      </w:r>
      <w:bookmarkEnd w:id="15"/>
      <w:r>
        <w:t xml:space="preserve">  (Table 1).</w:t>
      </w:r>
    </w:p>
    <w:p w14:paraId="4654A298" w14:textId="77777777" w:rsidR="00183FBA"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Times New Roman"/>
          <w:shd w:val="clear" w:color="auto" w:fill="00FFFF"/>
        </w:rPr>
        <w:t>https://indelsig.net/</w:t>
      </w:r>
      <w:r>
        <w:rPr>
          <w:shd w:val="clear" w:color="auto" w:fill="00FFFF"/>
        </w:rPr>
        <w:t>.</w:t>
      </w:r>
    </w:p>
    <w:p w14:paraId="37EE6A46" w14:textId="77777777" w:rsidR="00183FBA"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val="clear" w:color="auto" w:fill="00FFFF"/>
        </w:rPr>
        <w:t>(Figure 4, Figure S1).</w:t>
      </w:r>
    </w:p>
    <w:p w14:paraId="506FDD17" w14:textId="77777777" w:rsidR="00183FBA"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w:t>
      </w:r>
      <w:r>
        <w:lastRenderedPageBreak/>
        <w:t xml:space="preserve">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(Table S9).</w:t>
      </w:r>
    </w:p>
    <w:p w14:paraId="6E819724" w14:textId="77777777" w:rsidR="00183FBA" w:rsidRDefault="00000000">
      <w:pPr>
        <w:pStyle w:val="normalfirst"/>
      </w:pPr>
      <w:r>
        <w:rPr>
          <w:rFonts w:eastAsia="Times New Roman" w:hint="eastAsia"/>
          <w:b/>
          <w:bCs/>
          <w:i/>
          <w:iCs/>
        </w:rPr>
        <w:t>Two signatures in which the 89-type classification misses clear differences</w:t>
      </w:r>
    </w:p>
    <w:p w14:paraId="7C902D78" w14:textId="77777777" w:rsidR="00183FBA" w:rsidRDefault="00000000">
      <w:pPr>
        <w:pStyle w:val="normalfirst"/>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ascii="DejaVu Sans" w:hAnsi="DejaVu Sans" w:cs="DejaVu Sans" w:hint="eastAsia"/>
        </w:rPr>
        <w:t>→</w:t>
      </w:r>
      <w:r>
        <w:rPr>
          <w:rFonts w:eastAsia="Times New Roman" w:hint="eastAsia"/>
        </w:rPr>
        <w:t>AA), while InsDel13 has deletions of T from ATTA (ATTA</w:t>
      </w:r>
      <w:r>
        <w:rPr>
          <w:rFonts w:ascii="DejaVu Sans" w:hAnsi="DejaVu Sans" w:cs="DejaVu Sans" w:hint="eastAsia"/>
        </w:rPr>
        <w:t>→</w:t>
      </w:r>
      <w:r>
        <w:rPr>
          <w:rFonts w:eastAsia="Times New Roman" w:hint="eastAsia"/>
        </w:rPr>
        <w:t>ATA,</w:t>
      </w:r>
      <w:r>
        <w:rPr>
          <w:rFonts w:eastAsia="Times New Roman" w:hint="eastAsia"/>
          <w:shd w:val="clear" w:color="auto" w:fill="00FFFF"/>
        </w:rPr>
        <w:t xml:space="preserve"> Figure S2A)</w:t>
      </w:r>
      <w:r>
        <w:t>.</w:t>
      </w:r>
      <w:r>
        <w:rPr>
          <w:rFonts w:eastAsia="Times New Roma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Times New Roman" w:hint="eastAsia"/>
        </w:rPr>
        <w:t>ACCG) and insertion of a one T next to an isolated T (e.g. GTG</w:t>
      </w:r>
      <w:r>
        <w:rPr>
          <w:rFonts w:ascii="DejaVu Sans" w:hAnsi="DejaVu Sans" w:cs="DejaVu Sans" w:hint="eastAsia"/>
        </w:rPr>
        <w:t>→</w:t>
      </w:r>
      <w:r>
        <w:rPr>
          <w:rFonts w:eastAsia="Times New Roman" w:hint="eastAsia"/>
        </w:rPr>
        <w:t>GTTG). InsDel16 has insertion of one C between non-Cs (e.g. AT</w:t>
      </w:r>
      <w:r>
        <w:rPr>
          <w:rFonts w:ascii="DejaVu Sans" w:hAnsi="DejaVu Sans" w:cs="DejaVu Sans" w:hint="eastAsia"/>
        </w:rPr>
        <w:t>→</w:t>
      </w:r>
      <w:r>
        <w:rPr>
          <w:rFonts w:eastAsia="Times New Roman" w:hint="eastAsia"/>
        </w:rPr>
        <w:t>ACT), and insertion of one T between non-Ts (e.g. AG</w:t>
      </w:r>
      <w:r>
        <w:rPr>
          <w:rFonts w:ascii="DejaVu Sans" w:hAnsi="DejaVu Sans" w:cs="DejaVu Sans" w:hint="eastAsia"/>
        </w:rPr>
        <w:t>→</w:t>
      </w:r>
      <w:r>
        <w:rPr>
          <w:rFonts w:eastAsia="Times New Roman" w:hint="eastAsia"/>
        </w:rPr>
        <w:t xml:space="preserve">ATG, </w:t>
      </w:r>
      <w:r>
        <w:rPr>
          <w:rFonts w:eastAsia="Times New Roman" w:hint="eastAsia"/>
          <w:shd w:val="clear" w:color="auto" w:fill="00FFFF"/>
        </w:rPr>
        <w:t>Figure S2B</w:t>
      </w:r>
      <w:r>
        <w:t xml:space="preserve">). Again, </w:t>
      </w:r>
      <w:r>
        <w:rPr>
          <w:rFonts w:eastAsia="Times New Roman" w:hint="eastAsia"/>
        </w:rPr>
        <w:t>the 89-type system does not capture these differences, while the 83 and 476-type systems do.</w:t>
      </w:r>
    </w:p>
    <w:p w14:paraId="422D5C4A" w14:textId="77777777" w:rsidR="00183FBA" w:rsidRDefault="00000000">
      <w:pPr>
        <w:pStyle w:val="normalfirst"/>
        <w:rPr>
          <w:b/>
          <w:bCs/>
          <w:i/>
          <w:iCs/>
        </w:rPr>
      </w:pPr>
      <w:r>
        <w:rPr>
          <w:b/>
          <w:bCs/>
          <w:i/>
          <w:iCs/>
        </w:rPr>
        <w:t>Clarified signatures of aristolochic-acid-induced deletions</w:t>
      </w:r>
    </w:p>
    <w:p w14:paraId="613A5AEC" w14:textId="77777777" w:rsidR="00183FBA" w:rsidRDefault="00000000">
      <w:pPr>
        <w:pStyle w:val="normalfirst"/>
        <w:rPr>
          <w:b/>
          <w:bCs/>
          <w:i/>
          <w:iCs/>
        </w:rPr>
      </w:pPr>
      <w:r>
        <w:t xml:space="preserve">InsDel23 is caused by aristolochic acid (AA) exposure and the 476-type signatures shows that most AA deletions involve 5’TA3’/3’AT5’ → A/T (Figure 1, and see https://indelsig.net). This pattern is not visible in either the 83-type or 89-type classification </w:t>
      </w:r>
      <w:r>
        <w:rPr>
          <w:shd w:val="clear" w:color="auto" w:fill="FFFF00"/>
        </w:rPr>
        <w:t>XXXXXX  Do the detailed spectrum of the exemplar XXXX</w:t>
      </w:r>
      <w:r>
        <w:t xml:space="preserve">  One might speculate that this pattern is related to the adenine adducts caused by AA, which are also thought to be responsible for the predominance of A</w:t>
      </w:r>
      <w:r>
        <w:rPr>
          <w:rFonts w:ascii="DejaVu Sans" w:hAnsi="DejaVu Sans" w:cs="DejaVu Sans" w:hint="eastAsia"/>
        </w:rPr>
        <w:t>→</w:t>
      </w:r>
      <w:r>
        <w:t xml:space="preserve">T </w:t>
      </w:r>
      <w:r>
        <w:lastRenderedPageBreak/>
        <w:t xml:space="preserve">single base substitutions in the AA SBS signature and for the frequent involvement of adenines in the AA DBS signature. </w:t>
      </w:r>
    </w:p>
    <w:p w14:paraId="16BEF9FC" w14:textId="77777777" w:rsidR="00183FBA" w:rsidRDefault="00000000">
      <w:pPr>
        <w:pStyle w:val="NormalWeb"/>
        <w:ind w:firstLine="0"/>
      </w:pPr>
      <w:r>
        <w:rPr>
          <w:rFonts w:eastAsia="Times New Roman"/>
          <w:b/>
          <w:bCs/>
          <w:i/>
          <w:iCs/>
        </w:rPr>
        <w:t>APOBEC3A activity and InsDel_Aβ</w:t>
      </w:r>
      <w:r>
        <w:rPr>
          <w:rFonts w:eastAsia="Times New Roman" w:hint="eastAsia"/>
          <w:b/>
          <w:bCs/>
          <w:i/>
          <w:iCs/>
        </w:rPr>
        <w:t xml:space="preserve"> </w:t>
      </w:r>
    </w:p>
    <w:p w14:paraId="378901C1" w14:textId="77777777" w:rsidR="00183FBA" w:rsidRDefault="00000000">
      <w:pPr>
        <w:pStyle w:val="NormalWeb"/>
        <w:ind w:firstLine="0"/>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val="clear" w:color="auto" w:fill="00FFFF"/>
        </w:rPr>
        <w:t>F</w:t>
      </w:r>
      <w:r>
        <w:rPr>
          <w:rFonts w:eastAsia="Times New Roman"/>
          <w:shd w:val="clear" w:color="auto" w:fill="00FFFF"/>
        </w:rPr>
        <w:t>i</w:t>
      </w:r>
      <w:r>
        <w:rPr>
          <w:rFonts w:eastAsia="Times New Roman" w:hint="eastAsia"/>
          <w:shd w:val="clear" w:color="auto" w:fill="00FFFF"/>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ascii="DejaVu Sans" w:hAnsi="DejaVu Sans" w:cs="DejaVu Sans" w:hint="eastAsia"/>
        </w:rPr>
        <w:t>→</w:t>
      </w:r>
      <w:r>
        <w:rPr>
          <w:rFonts w:eastAsia="Times New Roman" w:hint="eastAsia"/>
        </w:rPr>
        <w:t>TTT)</w:t>
      </w:r>
      <w:r>
        <w:rPr>
          <w:rFonts w:eastAsia="Times New Roman"/>
        </w:rPr>
        <w:t xml:space="preserve"> and SBS13 </w:t>
      </w:r>
      <w:r>
        <w:rPr>
          <w:rFonts w:eastAsia="Times New Roman" w:hint="eastAsia"/>
        </w:rPr>
        <w:t>(TCA</w:t>
      </w:r>
      <w:r>
        <w:rPr>
          <w:rFonts w:ascii="DejaVu Sans" w:hAnsi="DejaVu Sans" w:cs="DejaVu Sans" w:hint="eastAsia"/>
        </w:rPr>
        <w:t>→</w:t>
      </w:r>
      <w:r>
        <w:rPr>
          <w:rFonts w:eastAsia="Times New Roman" w:hint="eastAsia"/>
        </w:rPr>
        <w:t>TGA and TCT</w:t>
      </w:r>
      <w:r>
        <w:rPr>
          <w:rFonts w:ascii="DejaVu Sans" w:hAnsi="DejaVu Sans" w:cs="DejaVu Sans" w:hint="eastAsia"/>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val="clear" w:color="auto" w:fill="00FFFF"/>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14:paraId="1E150E59" w14:textId="77777777" w:rsidR="00183FBA" w:rsidRDefault="00000000">
      <w:pPr>
        <w:pStyle w:val="normalfirst"/>
        <w:rPr>
          <w:shd w:val="clear" w:color="auto" w:fill="FFFF00"/>
        </w:rPr>
      </w:pPr>
      <w:r>
        <w:rPr>
          <w:rFonts w:eastAsia="Times New Roman" w:hint="eastAsia"/>
          <w:b/>
          <w:bCs/>
          <w:i/>
          <w:iCs/>
        </w:rPr>
        <w:t>MSS tumors: single-thymine indels in poly-T tracts</w:t>
      </w:r>
    </w:p>
    <w:p w14:paraId="28D43FE1" w14:textId="77777777" w:rsidR="00183FBA" w:rsidRDefault="00000000">
      <w:pPr>
        <w:pStyle w:val="BodyText"/>
      </w:pPr>
      <w:r>
        <w:rPr>
          <w:rFonts w:eastAsia="Times New Roman"/>
        </w:rPr>
        <w:t xml:space="preserve">De-novo signature discovery using both HDP- and NMF in all 3 indel signature classifications identified signatures with similar proportions of deletions and insertions of a single thymine in poly-T tracts. These occur almost exclusively in MSS tumors. We termed these ID_N (the 83-type signature) plus InsDel_Nα and InsDel_Nβ (the 89- and 476-type signatures). Previous analysis in the 83-type classification allocated insertions and deletions of single thymines in poly-T tracts to separate signatures ID1 and ID2, and did not differentiate between </w:t>
      </w:r>
      <w:r>
        <w:rPr>
          <w:rFonts w:eastAsia="Times New Roman"/>
        </w:rPr>
        <w:lastRenderedPageBreak/>
        <w:t xml:space="preserve">signature occurrence in MSS versus MSI-H </w:t>
      </w:r>
      <w:bookmarkStart w:id="19" w:name="ZOTERO_BREF_YU0vhT0bGj2b"/>
      <w:r>
        <w:rPr>
          <w:rFonts w:eastAsia="Times New Roman"/>
        </w:rPr>
        <w:t>(Alexandrov et al. 2020b)</w:t>
      </w:r>
      <w:bookmarkEnd w:id="19"/>
      <w:r>
        <w:rPr>
          <w:rFonts w:eastAsia="Times New Roman"/>
        </w:rPr>
        <w:t>. We first focus on</w:t>
      </w:r>
      <w:r>
        <w:rPr>
          <w:rFonts w:eastAsia="Times New Roman" w:hint="eastAsia"/>
        </w:rPr>
        <w:t xml:space="preserve"> </w:t>
      </w:r>
      <w:r>
        <w:rPr>
          <w:rFonts w:eastAsia="Times New Roman"/>
        </w:rPr>
        <w:t xml:space="preserve">InsDel_Nβ which occurs in 2,629 of 6,770 MSS tumors (39%) in diverse cancer types and in only 9 of 176 MSI-H tumors </w:t>
      </w:r>
      <w:r>
        <w:rPr>
          <w:rFonts w:eastAsia="Times New Roman"/>
          <w:shd w:val="clear" w:color="auto" w:fill="00FFFF"/>
        </w:rPr>
        <w:t>(5%, Table S10)</w:t>
      </w:r>
      <w:r>
        <w:rPr>
          <w:shd w:val="clear" w:color="auto" w:fill="00FFFF"/>
        </w:rPr>
        <w:t xml:space="preserve">. </w:t>
      </w:r>
      <w:r>
        <w:t>Roughly half the tumors with InsDel_N</w:t>
      </w:r>
      <w:r>
        <w:rPr>
          <w:rFonts w:eastAsia="Times New Roman"/>
        </w:rPr>
        <w:t xml:space="preserve">β also have InsDel1a, and InsDel1a also occurs without InsDel_Nβ in 2,596 MSS tumors (39%) and 35 MSI-H tumors (20%). Thus, many MSS tumors have roughly equal proportions of thymine deletions and insertion in long poly-T tracts (InsDel_Nβ ), but other tumors have varying proportions of additional insertions (InsDel_1a), and some tumor spectra are completely dominated by these insertions. The other signature with approximately equal proportions of insertions and deletions of a thymine in a poly-T tract, InsDel_Nα, is rare in both MSS and MSI-H tumors, occurring in only 55 of 6,770 MSS tumors and 2 of 175 MSI-H tumors. </w:t>
      </w:r>
    </w:p>
    <w:p w14:paraId="71A36284" w14:textId="77777777" w:rsidR="00183FBA" w:rsidRDefault="00000000">
      <w:pPr>
        <w:pStyle w:val="normalfirst"/>
        <w:rPr>
          <w:rFonts w:eastAsia="Times New Roman"/>
          <w:b/>
          <w:bCs/>
          <w:i/>
          <w:iCs/>
        </w:rPr>
      </w:pPr>
      <w:r>
        <w:rPr>
          <w:rFonts w:eastAsia="Times New Roman"/>
          <w:b/>
          <w:bCs/>
          <w:i/>
          <w:iCs/>
        </w:rPr>
        <w:t>Indels in poly-T tracts and microsatellite contraction in MSI-H tumors</w:t>
      </w:r>
    </w:p>
    <w:p w14:paraId="2407629B" w14:textId="77777777" w:rsidR="00183FBA" w:rsidRDefault="00000000">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val="clear" w:color="auto" w:fill="00FFFF"/>
        </w:rPr>
        <w:t>(Figure 4a)</w:t>
      </w:r>
      <w:r>
        <w:rPr>
          <w:rFonts w:eastAsia="Times New Roman"/>
        </w:rPr>
        <w:t>. InsDel7, like InsDel2a/b/c, is dominated by single-thymine deletions from poly-T tracts, but with a distinct distribution of sequences flanking the poly-T tract. InsDel_J consists almost entirely of deletions of single dinucleotides from a dinucleotide microsatellites, e.g. deletion of CA from (CA)</w:t>
      </w:r>
      <w:r>
        <w:rPr>
          <w:rFonts w:eastAsia="Times New Roman"/>
          <w:vertAlign w:val="superscript"/>
        </w:rPr>
        <w:t>5</w:t>
      </w:r>
      <w:r>
        <w:rPr>
          <w:rFonts w:eastAsia="Times New Roman"/>
        </w:rPr>
        <w:t>, or deletion of GT from (GT)</w:t>
      </w:r>
      <w:r>
        <w:rPr>
          <w:rFonts w:eastAsia="Times New Roman"/>
          <w:vertAlign w:val="superscript"/>
        </w:rPr>
        <w:t>8</w:t>
      </w:r>
      <w:r>
        <w:rPr>
          <w:rFonts w:eastAsia="Times New Roman"/>
        </w:rPr>
        <w:t xml:space="preserve"> [see also entries for the 476-indel-type category Del2:U2:R(5,) in </w:t>
      </w:r>
      <w:r>
        <w:rPr>
          <w:rFonts w:eastAsia="Times New Roman"/>
          <w:shd w:val="clear" w:color="auto" w:fill="00FFFF"/>
        </w:rPr>
        <w:t>Table S1]</w:t>
      </w:r>
      <w:r>
        <w:rPr>
          <w:rFonts w:eastAsia="Times New Roman"/>
        </w:rPr>
        <w:t xml:space="preserve">. Another signature, InsDel1a, which is dominated by single-thymine deletions into poly-T tracts occurred in 20% of MSI-H tumors. This is a reasonably high frequency, though substantially less than the 38% of MSS tumors </w:t>
      </w:r>
      <w:r>
        <w:rPr>
          <w:rFonts w:eastAsia="Times New Roman"/>
          <w:shd w:val="clear" w:color="auto" w:fill="00FFFF"/>
        </w:rPr>
        <w:t>(Table S10).</w:t>
      </w:r>
    </w:p>
    <w:p w14:paraId="4A5EA980" w14:textId="77777777" w:rsidR="00183FBA" w:rsidRDefault="00000000">
      <w:pPr>
        <w:pStyle w:val="Heading2"/>
      </w:pPr>
      <w:r>
        <w:t>The new indel classifications reveal an accurate signature of RNase H2 deficiency</w:t>
      </w:r>
    </w:p>
    <w:p w14:paraId="2C99817F" w14:textId="77777777" w:rsidR="00183FBA" w:rsidRDefault="00000000">
      <w:pPr>
        <w:ind w:firstLine="0"/>
      </w:pPr>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 xml:space="preserve">(Reijns et </w:t>
      </w:r>
      <w:r>
        <w:lastRenderedPageBreak/>
        <w:t>al. 2022; Koh et al. 2025; Jin et al. 2024)</w:t>
      </w:r>
      <w:bookmarkEnd w:id="20"/>
      <w:r>
        <w:t xml:space="preserve">. However, we detected a new indel signature, InsDel_F, which better corresponds to RNase H2 deficiency experimental data than ID4 </w:t>
      </w:r>
      <w:r>
        <w:rPr>
          <w:shd w:val="clear" w:color="auto" w:fill="00FFFF"/>
        </w:rPr>
        <w:t>(Figures</w:t>
      </w:r>
      <w:r>
        <w:rPr>
          <w:rFonts w:eastAsia="Times New Roman" w:hint="eastAsia"/>
          <w:shd w:val="clear" w:color="auto" w:fill="00FFFF"/>
        </w:rPr>
        <w:t xml:space="preserve"> 6, S5</w:t>
      </w:r>
      <w:r>
        <w:rPr>
          <w:shd w:val="clear" w:color="auto" w:fill="00FFFF"/>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val="clear" w:color="auto" w:fill="00FFFF"/>
        </w:rPr>
        <w:t>Figure S5</w:t>
      </w:r>
      <w:r>
        <w:rPr>
          <w:rFonts w:eastAsia="Times New Roman" w:hint="eastAsia"/>
        </w:rPr>
        <w:t>)</w:t>
      </w:r>
      <w: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14:paraId="1809B17E" w14:textId="77777777" w:rsidR="00183FBA" w:rsidRDefault="00000000">
      <w:pPr>
        <w:pStyle w:val="Heading3"/>
        <w:numPr>
          <w:ilvl w:val="0"/>
          <w:numId w:val="0"/>
        </w:numPr>
        <w:rPr>
          <w:i/>
          <w:iCs/>
          <w:sz w:val="24"/>
          <w:szCs w:val="24"/>
        </w:rPr>
      </w:pPr>
      <w:r>
        <w:rPr>
          <w:i/>
          <w:iCs/>
          <w:sz w:val="24"/>
          <w:szCs w:val="24"/>
        </w:rPr>
        <w:t>Associations between indel signatures and SBS signatures</w:t>
      </w:r>
    </w:p>
    <w:p w14:paraId="46EAE5C5" w14:textId="77777777" w:rsidR="00183FBA" w:rsidRDefault="00000000">
      <w:pPr>
        <w:ind w:firstLine="0"/>
      </w:pPr>
      <w:r>
        <w:t>We further analyzed the correlations between the i</w:t>
      </w:r>
      <w:r>
        <w:rPr>
          <w:rFonts w:hint="eastAsia"/>
        </w:rPr>
        <w:t>ndel</w:t>
      </w:r>
      <w:r>
        <w:t xml:space="preserve"> signature activities we derived and the SBS signature activities from </w:t>
      </w:r>
      <w:bookmarkStart w:id="21" w:name="ZOTERO_BREF_EyljJoO9yp1B"/>
      <w:r>
        <w:t>(Degasperi et al. 2022)</w:t>
      </w:r>
      <w:bookmarkEnd w:id="21"/>
      <w:r>
        <w:t xml:space="preserve"> (</w:t>
      </w:r>
      <w:r>
        <w:rPr>
          <w:shd w:val="clear" w:color="auto" w:fill="00FFFF"/>
        </w:rPr>
        <w:t>Tables S11, S12</w:t>
      </w:r>
      <w: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val="clear" w:color="auto" w:fill="00FFFF"/>
        </w:rPr>
        <w:t xml:space="preserve">(Figure </w:t>
      </w:r>
      <w:r>
        <w:rPr>
          <w:rFonts w:eastAsia="Times New Roman" w:hint="eastAsia"/>
          <w:shd w:val="clear" w:color="auto" w:fill="00FFFF"/>
        </w:rPr>
        <w:t>4B</w:t>
      </w:r>
      <w:r>
        <w:rPr>
          <w:shd w:val="clear" w:color="auto" w:fill="00FFFF"/>
        </w:rPr>
        <w:t>)</w:t>
      </w:r>
      <w:r>
        <w:t>. The APOBEC-related cluster includes SBS2 and SBS13 and sho</w:t>
      </w:r>
      <w:r>
        <w:rPr>
          <w:rFonts w:eastAsia="Times New Roman" w:hint="eastAsia"/>
        </w:rPr>
        <w:t>wed</w:t>
      </w:r>
      <w:r>
        <w:t xml:space="preserve"> moderate correlations with ID_A and </w:t>
      </w:r>
      <w:r>
        <w:lastRenderedPageBreak/>
        <w:t>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t xml:space="preserve">) gene had strong links between SBS signature SBS10a and indel signature InsDel1b and InsDel_K. Additional analysis of tumor somatic mutations confirmed that these signatures are associated with dysfunctional </w:t>
      </w:r>
      <w:r>
        <w:rPr>
          <w:i/>
          <w:iCs/>
        </w:rPr>
        <w:t>POLE</w:t>
      </w:r>
      <w:r>
        <w:t xml:space="preserve"> proofreading plus, in some tumors, mismatch repair deficiency (</w:t>
      </w:r>
      <w:r>
        <w:rPr>
          <w:shd w:val="clear" w:color="auto" w:fill="00FFFF"/>
        </w:rPr>
        <w:t>Table S9 &lt;add hypermutator info to legend&gt;</w:t>
      </w:r>
      <w:r>
        <w:t>).</w:t>
      </w:r>
    </w:p>
    <w:p w14:paraId="3C7D9CD8" w14:textId="77777777" w:rsidR="00183FBA"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t xml:space="preserve">, “MMR defects”). Another notable group included InsDel_B, InsDel5a, and InsDel5b, which co-occurred with liver-cancer associated SBS signatures SBS12 and SBS16. </w:t>
      </w:r>
    </w:p>
    <w:p w14:paraId="39F6E1FC" w14:textId="77777777" w:rsidR="00183FBA" w:rsidRDefault="00000000">
      <w: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GI enriched cluster. In contrast, InsDel1b was linked to </w:t>
      </w:r>
      <w:r>
        <w:rPr>
          <w:i/>
          <w:iCs/>
        </w:rPr>
        <w:t>POLE</w:t>
      </w:r>
      <w:r>
        <w:t xml:space="preserve"> proofreading errors and InsDel1c was associated with SBS liver cancer signatures SBS12 and SBS16.</w:t>
      </w:r>
    </w:p>
    <w:p w14:paraId="4F486061" w14:textId="77777777" w:rsidR="00183FBA" w:rsidRDefault="00000000">
      <w: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t xml:space="preserve">, “Tobacco Smoking”) </w:t>
      </w:r>
      <w:bookmarkStart w:id="22" w:name="ZOTERO_BREF_PpR8PYcxNNRP"/>
      <w:r>
        <w:t>(Lawson et al. 2020)</w:t>
      </w:r>
      <w:bookmarkEnd w:id="22"/>
      <w:r>
        <w:t xml:space="preserve">. In the gastrointestinal (GI) cluster, which includes signatures common in gastrointestinal tumors (SBS17, SBS18, SBS1, </w:t>
      </w:r>
      <w:r>
        <w:lastRenderedPageBreak/>
        <w:t xml:space="preserve">SBS88, and SBS93), we observed that C_ID18/InsDel18, ID_N/InsDel_Nβ were associated with SBS signatures typically seen in the GI tract. SBS93, in particular, shows a strong transcriptional strand bias </w:t>
      </w:r>
      <w:r>
        <w:rPr>
          <w:shd w:val="clear" w:color="auto" w:fill="00FFFF"/>
        </w:rPr>
        <w:t>&lt;what is the reference for this&gt;</w:t>
      </w:r>
      <w: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t xml:space="preserve">). </w:t>
      </w:r>
    </w:p>
    <w:p w14:paraId="26A64F4B" w14:textId="77777777" w:rsidR="00183FBA" w:rsidRDefault="00000000">
      <w:pPr>
        <w:pStyle w:val="Heading2"/>
      </w:pPr>
      <w:r>
        <w:rPr>
          <w:rFonts w:hint="eastAsia"/>
        </w:rPr>
        <w:t>Topography of indel mutational signatures &lt;</w:t>
      </w:r>
      <w:r>
        <w:rPr>
          <w:rFonts w:hint="eastAsia"/>
          <w:shd w:val="clear" w:color="auto" w:fill="FF0000"/>
        </w:rPr>
        <w:t>STEVE REVIEW</w:t>
      </w:r>
      <w:r>
        <w:rPr>
          <w:rFonts w:hint="eastAsia"/>
        </w:rPr>
        <w:t>&gt;</w:t>
      </w:r>
    </w:p>
    <w:p w14:paraId="553CB2DB" w14:textId="77777777" w:rsidR="00183FBA" w:rsidRDefault="00000000">
      <w:pPr>
        <w:ind w:firstLine="0"/>
        <w:rPr>
          <w:rFonts w:eastAsia="Times New Roman"/>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S3</w:t>
      </w:r>
      <w:r>
        <w:rPr>
          <w:rFonts w:eastAsia="宋体" w:hint="eastAsia"/>
          <w:shd w:val="clear" w:color="auto" w:fill="00FFFF"/>
        </w:rPr>
        <w:t>A</w:t>
      </w:r>
      <w:r>
        <w:rPr>
          <w:rFonts w:eastAsia="Times New Roman"/>
          <w:shd w:val="clear" w:color="auto" w:fill="00FFFF"/>
        </w:rPr>
        <w:t>, Table S13</w:t>
      </w:r>
      <w:r>
        <w:rPr>
          <w:rFonts w:eastAsia="Times New Roman"/>
        </w:rPr>
        <w:t>). Signature</w:t>
      </w:r>
      <w:r>
        <w:t xml:space="preserv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t xml:space="preserve"> (topoisomerase-1 </w:t>
      </w:r>
      <w:r>
        <w:rPr>
          <w:rFonts w:eastAsia="Times New Roman" w:hint="eastAsia"/>
        </w:rPr>
        <w:t>[</w:t>
      </w:r>
      <w:r>
        <w:t>TOP1</w:t>
      </w:r>
      <w:r>
        <w:rPr>
          <w:rFonts w:eastAsia="Times New Roman" w:hint="eastAsia"/>
        </w:rPr>
        <w:t>]</w:t>
      </w:r>
      <w: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t>) having enriched mutations on the transcribed strand, and one of them (</w:t>
      </w:r>
      <w:r>
        <w:rPr>
          <w:rFonts w:eastAsia="Times New Roman" w:hint="eastAsia"/>
        </w:rPr>
        <w:t>ID_N</w:t>
      </w:r>
      <w:r>
        <w:t xml:space="preserve">) having enriched mutations mainly on the un-transcribed strand. Replication strand asymmetries </w:t>
      </w:r>
      <w:r>
        <w:lastRenderedPageBreak/>
        <w:t>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S3B</w:t>
      </w:r>
      <w:r>
        <w:rPr>
          <w:rFonts w:eastAsia="Times New Roman"/>
          <w:shd w:val="clear" w:color="auto" w:fill="00FFFF"/>
        </w:rPr>
        <w:t>, Table S13</w:t>
      </w:r>
      <w:r>
        <w:rPr>
          <w:rFonts w:eastAsia="Times New Roman"/>
        </w:rPr>
        <w:t>). A</w:t>
      </w:r>
      <w: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14:paraId="14A667C2" w14:textId="77777777" w:rsidR="00183FBA" w:rsidRDefault="00000000">
      <w:r>
        <w:t>We also examined the mutation enrichment of 83-type signatures in genic and intergenic regions</w:t>
      </w:r>
      <w:r>
        <w:rPr>
          <w:rFonts w:hint="eastAsia"/>
        </w:rPr>
        <w:t xml:space="preserve"> </w:t>
      </w:r>
      <w:r>
        <w:rPr>
          <w:rFonts w:hint="eastAsia"/>
          <w:shd w:val="clear" w:color="auto" w:fill="00FFFF"/>
        </w:rPr>
        <w:t>(Figure S3</w:t>
      </w:r>
      <w:r>
        <w:rPr>
          <w:rFonts w:eastAsia="宋体" w:hint="eastAsia"/>
          <w:shd w:val="clear" w:color="auto" w:fill="00FFFF"/>
        </w:rPr>
        <w:t>C</w:t>
      </w:r>
      <w:r>
        <w:rPr>
          <w:rFonts w:hint="eastAsia"/>
          <w:shd w:val="clear" w:color="auto" w:fill="00FFFF"/>
        </w:rPr>
        <w:t>)</w:t>
      </w:r>
      <w:r>
        <w:rPr>
          <w:shd w:val="clear" w:color="auto" w:fill="00FFFF"/>
        </w:rPr>
        <w:t>.</w:t>
      </w:r>
      <w:r>
        <w:t xml:space="preserve"> Most signatures showed mutation bias towards intergenic regions, while 6 signatures showed enrichment in genic regions</w:t>
      </w:r>
      <w:r>
        <w:rPr>
          <w:rFonts w:hint="eastAsia"/>
        </w:rPr>
        <w:t xml:space="preserve"> (</w:t>
      </w:r>
      <w:r>
        <w:t xml:space="preserve">Figure </w:t>
      </w:r>
      <w:r>
        <w:rPr>
          <w:rFonts w:eastAsia="Times New Roman" w:hint="eastAsia"/>
        </w:rPr>
        <w:t>5</w:t>
      </w:r>
      <w:r>
        <w:rPr>
          <w:rFonts w:hint="eastAsia"/>
        </w:rPr>
        <w:t>C)</w:t>
      </w:r>
      <w:r>
        <w:t xml:space="preserve">. Among the 6 signatures, </w:t>
      </w:r>
      <w:r>
        <w:rPr>
          <w:rFonts w:eastAsia="Times New Roman" w:hint="eastAsia"/>
        </w:rPr>
        <w:t>3</w:t>
      </w:r>
      <w:r>
        <w:t xml:space="preserve"> of them were associated with defective endogenous mutational processes, including </w:t>
      </w:r>
      <w:r>
        <w:rPr>
          <w:rFonts w:hint="eastAsia"/>
        </w:rPr>
        <w:t>C_ID8</w:t>
      </w:r>
      <w:r>
        <w:t xml:space="preserve"> (repair of DNA double strand breaks by NHEJ), C_ID17(TOP2A K743N mediated mutagenesis)</w:t>
      </w:r>
      <w:r>
        <w:rPr>
          <w:rFonts w:eastAsia="Times New Roman" w:hint="eastAsia"/>
        </w:rPr>
        <w:t xml:space="preserve"> and</w:t>
      </w:r>
      <w:r>
        <w:t xml:space="preserve"> </w:t>
      </w:r>
      <w:r>
        <w:rPr>
          <w:rFonts w:eastAsia="Times New Roman" w:hint="eastAsia"/>
        </w:rPr>
        <w:t xml:space="preserve">ID_F </w:t>
      </w:r>
      <w:r>
        <w:t>(</w:t>
      </w:r>
      <w:r>
        <w:rPr>
          <w:shd w:val="clear" w:color="auto" w:fill="00FFFF"/>
        </w:rPr>
        <w:t>TOP1</w:t>
      </w:r>
      <w: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4EE73C0B" w14:textId="77777777" w:rsidR="00183FBA"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 xml:space="preserve">(Figure 5D, </w:t>
      </w:r>
      <w:r>
        <w:rPr>
          <w:rFonts w:eastAsia="Times New Roman" w:hint="eastAsia"/>
          <w:shd w:val="clear" w:color="auto" w:fill="00FFFF"/>
        </w:rPr>
        <w:t>Figure S4</w:t>
      </w:r>
      <w:r>
        <w:rPr>
          <w:shd w:val="clear" w:color="auto" w:fill="00FFFF"/>
        </w:rPr>
        <w:t>,</w:t>
      </w:r>
      <w:r>
        <w:t xml:space="preserve"> </w:t>
      </w:r>
      <w:r>
        <w:rPr>
          <w:shd w:val="clear" w:color="auto" w:fill="00FFFF"/>
        </w:rPr>
        <w:t>Table S14</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Times New Roma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w:t>
      </w:r>
      <w:r>
        <w:lastRenderedPageBreak/>
        <w:t>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Times New Roman" w:hint="eastAsia"/>
          <w:shd w:val="clear" w:color="auto" w:fill="00FFFF"/>
        </w:rPr>
        <w:t>4</w:t>
      </w:r>
      <w:r>
        <w:rPr>
          <w:shd w:val="clear" w:color="auto" w:fill="00FFFF"/>
        </w:rPr>
        <w:t>, Table S15</w:t>
      </w:r>
      <w:r>
        <w:t>). InsDel</w:t>
      </w:r>
      <w:r>
        <w:rPr>
          <w:rFonts w:eastAsia="Times New Roma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17F73F2D" w14:textId="77777777" w:rsidR="00183FBA" w:rsidRDefault="00000000">
      <w:pPr>
        <w:pStyle w:val="Heading2"/>
        <w:rPr>
          <w:rFonts w:eastAsia="Times New Roman"/>
        </w:rPr>
      </w:pPr>
      <w:r>
        <w:t>Demographic Associations</w:t>
      </w:r>
      <w:r>
        <w:rPr>
          <w:rFonts w:eastAsia="Times New Roman" w:hint="eastAsia"/>
        </w:rPr>
        <w:t xml:space="preserve"> with Gender and Age STEVE REVIEW</w:t>
      </w:r>
    </w:p>
    <w:p w14:paraId="033F5846" w14:textId="77777777" w:rsidR="00183FBA" w:rsidRDefault="00000000">
      <w:pPr>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val="clear" w:color="auto" w:fill="00FFFF"/>
        </w:rPr>
        <w:t>Figure S6A,</w:t>
      </w:r>
      <w:r>
        <w:rPr>
          <w:rFonts w:eastAsia="Times New Roman" w:hint="eastAsia"/>
        </w:rPr>
        <w:t xml:space="preserve"> </w:t>
      </w:r>
      <w:r>
        <w:rPr>
          <w:rFonts w:eastAsia="Times New Roman" w:hint="eastAsia"/>
          <w:shd w:val="clear" w:color="auto" w:fill="00FFFF"/>
        </w:rPr>
        <w:t>Table S16</w:t>
      </w:r>
      <w:r>
        <w:rPr>
          <w:rFonts w:eastAsia="Times New Roman" w:hint="eastAsia"/>
        </w:rPr>
        <w:t>)</w:t>
      </w:r>
      <w:r>
        <w:rPr>
          <w:rFonts w:eastAsia="Times New Roman"/>
        </w:rPr>
        <w:t xml:space="preserve">. </w:t>
      </w:r>
      <w:r>
        <w:rPr>
          <w:rFonts w:eastAsia="Times New Roman"/>
          <w:shd w:val="clear" w:color="auto" w:fill="FFFF00"/>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val="clear" w:color="auto" w:fill="FFFF00"/>
        </w:rPr>
        <w:t xml:space="preserve"> </w:t>
      </w:r>
      <w:commentRangeStart w:id="23"/>
      <w:r>
        <w:rPr>
          <w:rFonts w:eastAsia="Times New Roman"/>
          <w:shd w:val="clear" w:color="auto" w:fill="FFFF00"/>
        </w:rPr>
        <w:t>&lt;mentioned anywhere else?&gt;</w:t>
      </w:r>
      <w:commentRangeEnd w:id="23"/>
      <w:r>
        <w:rPr>
          <w:rStyle w:val="CommentReference"/>
          <w:rFonts w:eastAsia="Times New Roman"/>
          <w:strike/>
          <w:sz w:val="24"/>
          <w:szCs w:val="24"/>
        </w:rPr>
        <w:commentReference w:id="23"/>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lastRenderedPageBreak/>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14:paraId="5D41F483" w14:textId="77777777" w:rsidR="00183FBA" w:rsidRDefault="00000000">
      <w:pPr>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val="clear" w:color="auto" w:fill="00FFFF"/>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val="clear" w:color="auto" w:fill="FFFF00"/>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val="clear" w:color="auto" w:fill="FFFF00"/>
        </w:rPr>
        <w:t xml:space="preserve"> </w:t>
      </w:r>
      <w:r>
        <w:rPr>
          <w:rFonts w:eastAsia="Times New Roman" w:hint="eastAsia"/>
          <w:shd w:val="clear" w:color="auto" w:fill="00FFFF"/>
        </w:rPr>
        <w:t>(Table S17)</w:t>
      </w:r>
      <w:r>
        <w:rPr>
          <w:rFonts w:eastAsia="Times New Roman"/>
          <w:shd w:val="clear" w:color="auto" w:fill="00FFFF"/>
        </w:rPr>
        <w:t xml:space="preserve">. </w:t>
      </w:r>
      <w:r>
        <w:rPr>
          <w:rFonts w:eastAsia="Times New Roman"/>
        </w:rPr>
        <w:t>However, these broad pan-cancer associations likely reflect weak or heterogeneous age dependencies spread across multiple tumor types, rather than strong, tissue-specific age effects.</w:t>
      </w:r>
    </w:p>
    <w:p w14:paraId="464E3C0D" w14:textId="77777777" w:rsidR="00183FBA" w:rsidRDefault="00000000">
      <w:pPr>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14:paraId="42629F3B" w14:textId="77777777" w:rsidR="00183FBA" w:rsidRDefault="00000000">
      <w:pPr>
        <w:pStyle w:val="Heading1"/>
        <w:rPr>
          <w:rFonts w:eastAsiaTheme="minorEastAsia"/>
        </w:rPr>
      </w:pPr>
      <w:r>
        <w:t>Discussion</w:t>
      </w:r>
    </w:p>
    <w:p w14:paraId="5C837279" w14:textId="77777777" w:rsidR="00183FBA" w:rsidRDefault="00000000">
      <w:pPr>
        <w:rPr>
          <w:rFonts w:eastAsiaTheme="minorEastAsia"/>
        </w:rPr>
      </w:pPr>
      <w:r>
        <w:rPr>
          <w:rFonts w:eastAsiaTheme="minorEastAsia"/>
        </w:rPr>
        <w:t>In this study, we analyzed somatic indels in 6,975 whole-genome tumor samples spanning 3</w:t>
      </w:r>
      <w:r>
        <w:rPr>
          <w:rFonts w:eastAsia="Times New Roman"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w:t>
      </w:r>
      <w:r>
        <w:rPr>
          <w:rFonts w:eastAsiaTheme="minorEastAsia"/>
        </w:rPr>
        <w:lastRenderedPageBreak/>
        <w:t>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39CB7635" w14:textId="77777777" w:rsidR="00183FBA"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4D829875" w14:textId="77777777" w:rsidR="00183FBA"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261FAC1A" w14:textId="77777777" w:rsidR="00183FBA" w:rsidRDefault="00000000">
      <w:r>
        <w:rPr>
          <w:rFonts w:eastAsiaTheme="minorEastAsia" w:hint="eastAsia"/>
        </w:rPr>
        <w:lastRenderedPageBreak/>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281A34FE" w14:textId="77777777" w:rsidR="00183FBA"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106FBC0F" w14:textId="77777777" w:rsidR="00183FBA" w:rsidRDefault="00000000">
      <w:pPr>
        <w:rPr>
          <w:rFonts w:eastAsia="宋体"/>
        </w:rPr>
      </w:pPr>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4"/>
      <w:commentRangeStart w:id="25"/>
      <w:commentRangeStart w:id="26"/>
      <w:commentRangeStart w:id="27"/>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commentRangeEnd w:id="27"/>
      <w:r>
        <w:rPr>
          <w:rStyle w:val="CommentReference"/>
          <w:rFonts w:eastAsiaTheme="minorEastAsia"/>
          <w:sz w:val="24"/>
          <w:szCs w:val="24"/>
        </w:rPr>
        <w:commentReference w:id="27"/>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7CAC1566" w14:textId="77777777" w:rsidR="00183FBA" w:rsidRDefault="00000000">
      <w:pPr>
        <w:rPr>
          <w:rFonts w:eastAsia="宋体"/>
        </w:rPr>
      </w:pPr>
      <w:commentRangeStart w:id="28"/>
      <w:r>
        <w:rPr>
          <w:rFonts w:eastAsia="宋体"/>
        </w:rPr>
        <w:lastRenderedPageBreak/>
        <w:t>A potential source of technical variation in our analysis is the use of data generated by different variant-calling pipelines</w:t>
      </w:r>
      <w:r>
        <w:rPr>
          <w:rFonts w:eastAsia="宋体" w:hint="eastAsia"/>
        </w:rPr>
        <w:t xml:space="preserve"> used for</w:t>
      </w:r>
      <w:r>
        <w:rPr>
          <w:rFonts w:eastAsia="宋体"/>
        </w:rPr>
        <w:t xml:space="preserve"> PCAWG and Hartwig cohorts. We observed a higher frequency of indels occurring in sequence contexts containing more than nine repeat units in the Hartwig data, raising the possibility that differences in variant calling, local realignment, or indel representation contributed to this discrepancy. To assess and minimize the potential impact of this bias, we performed two additional analyses. First, we excluded indels associated with more than nine repeat units to improve comparability with the PCAWG calling pipeline. Second, for indels occurring in repetitive sequence contexts, we normalized their representation by moving each indel to the leftmost possible position within the sequence context. Thus, we cannot exclude residual caller- or cohort-specific effects, particularly for indels in highly repetitive sequence contexts and for signatures supported by relatively few mutations. Nevertheless, the overall consistency of the dominant signatures across datasets, together with the robustness of the results after filtering and representation normalization, suggests that variant-calling bias is unlikely to substantially affect the main conclusions of this study.</w:t>
      </w:r>
      <w:commentRangeEnd w:id="28"/>
      <w:r>
        <w:rPr>
          <w:rStyle w:val="CommentReference"/>
          <w:rFonts w:eastAsia="宋体"/>
          <w:sz w:val="24"/>
          <w:szCs w:val="24"/>
        </w:rPr>
        <w:commentReference w:id="28"/>
      </w:r>
    </w:p>
    <w:p w14:paraId="3D753E51" w14:textId="77777777" w:rsidR="00183FBA"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xml:space="preserve">,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w:t>
      </w:r>
      <w:r>
        <w:rPr>
          <w:rFonts w:eastAsiaTheme="minorEastAsia"/>
        </w:rPr>
        <w:lastRenderedPageBreak/>
        <w:t>presented here should therefore support more consistent interpretation of current signatures and provide a foundation for future development of an even more informative indel taxonomy.</w:t>
      </w:r>
    </w:p>
    <w:p w14:paraId="55E48776" w14:textId="77777777" w:rsidR="00183FBA" w:rsidRDefault="00000000">
      <w:pPr>
        <w:pStyle w:val="Heading1"/>
      </w:pPr>
      <w:r>
        <w:t>Materials and methods</w:t>
      </w:r>
    </w:p>
    <w:p w14:paraId="3B2D9222" w14:textId="77777777" w:rsidR="00183FBA" w:rsidRDefault="00000000">
      <w:pPr>
        <w:pStyle w:val="Heading2"/>
      </w:pPr>
      <w:r>
        <w:t>Data sources</w:t>
      </w:r>
    </w:p>
    <w:p w14:paraId="5E4BFB24" w14:textId="77777777" w:rsidR="00183FBA" w:rsidRDefault="00000000">
      <w:r>
        <w:t>Somatic indel calls from the ICGC/TCGA (International Cancer Genome Consortium/The Cancer Genome Atlas) Pan-Cancer Analysis of Whole Genomes Consortium and associated clinical characteristics were obtained from the ICGC data portal (</w:t>
      </w:r>
      <w:hyperlink r:id="rId14">
        <w:r>
          <w:rPr>
            <w:rStyle w:val="Hyperlink"/>
          </w:rPr>
          <w:t>https://dcc.icgc.org/releases/current/Projects/</w:t>
        </w:r>
      </w:hyperlink>
      <w:r>
        <w:t>, which has been retired. The data were downloaded on 9 May, 2024</w:t>
      </w:r>
      <w:r>
        <w:rPr>
          <w:rFonts w:eastAsia="Times New Roman" w:hint="eastAsia"/>
        </w:rPr>
        <w:t>)</w:t>
      </w:r>
      <w:r>
        <w:t>. Hartwig Medical Foundation</w:t>
      </w:r>
      <w:r>
        <w:rPr>
          <w:rFonts w:eastAsia="Times New Roman" w:hint="eastAsia"/>
        </w:rPr>
        <w:t xml:space="preserve"> (Hartwig)</w:t>
      </w:r>
      <w:r>
        <w:t xml:space="preserve"> through standardized procedures and request forms that can be found at https://www.hartwigmedicalfoundation.nl/en/appyling-for-data/</w:t>
      </w:r>
      <w:r>
        <w:rPr>
          <w:rFonts w:hint="eastAsia"/>
        </w:rPr>
        <w:t>.</w:t>
      </w:r>
      <w:r>
        <w:t xml:space="preserve"> </w:t>
      </w:r>
      <w:commentRangeStart w:id="29"/>
      <w:commentRangeStart w:id="30"/>
      <w:r>
        <w:t>Clinical traits such as cancer type, age and gende</w:t>
      </w:r>
      <w:commentRangeEnd w:id="29"/>
      <w:r w:rsidR="008C56BD">
        <w:rPr>
          <w:rStyle w:val="CommentReference"/>
          <w:sz w:val="24"/>
          <w:szCs w:val="24"/>
        </w:rPr>
        <w:commentReference w:id="29"/>
      </w:r>
      <w:commentRangeEnd w:id="30"/>
      <w:r w:rsidR="008C56BD">
        <w:rPr>
          <w:rStyle w:val="CommentReference"/>
          <w:sz w:val="24"/>
          <w:szCs w:val="24"/>
        </w:rPr>
        <w:commentReference w:id="30"/>
      </w:r>
      <w:r>
        <w:t xml:space="preserve">r </w:t>
      </w:r>
      <w:r>
        <w:rPr>
          <w:shd w:val="clear" w:color="auto" w:fill="FFFF00"/>
        </w:rPr>
        <w:t xml:space="preserve">of the </w:t>
      </w:r>
      <w:r>
        <w:rPr>
          <w:rFonts w:eastAsia="Times New Roman"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Times New Roman" w:hint="eastAsia"/>
        </w:rPr>
        <w:t>6</w:t>
      </w:r>
      <w:r>
        <w:rPr>
          <w:rFonts w:hint="eastAsia"/>
        </w:rPr>
        <w:t xml:space="preserve"> in </w:t>
      </w:r>
      <w:bookmarkStart w:id="31" w:name="ZOTERO_BREF_Jmprd6S6YeS8"/>
      <w:r>
        <w:rPr>
          <w:rFonts w:hint="eastAsia"/>
        </w:rPr>
        <w:t>(Priestley et al. 2019)</w:t>
      </w:r>
      <w:bookmarkEnd w:id="31"/>
      <w:r>
        <w:t xml:space="preserve">. </w:t>
      </w:r>
    </w:p>
    <w:p w14:paraId="23EE7749" w14:textId="77777777" w:rsidR="00183FBA" w:rsidRDefault="00000000">
      <w:pPr>
        <w:pStyle w:val="Heading2"/>
      </w:pPr>
      <w:r>
        <w:rPr>
          <w:rFonts w:hint="eastAsia"/>
        </w:rPr>
        <w:t xml:space="preserve">De novo </w:t>
      </w:r>
      <w:r>
        <w:t>Mutational signature extraction</w:t>
      </w:r>
    </w:p>
    <w:p w14:paraId="0E62F1E1" w14:textId="77777777" w:rsidR="00183FBA" w:rsidRDefault="00000000">
      <w:pPr>
        <w:ind w:firstLineChars="200" w:firstLine="48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14:paraId="04E60DB9" w14:textId="77777777" w:rsidR="00183FBA" w:rsidRDefault="00000000">
      <w:pPr>
        <w:ind w:firstLineChars="200" w:firstLine="48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imes New Roman"/>
        </w:rPr>
        <w:noBreakHyphen/>
        <w:t xml:space="preserve">layer hierarchical Dirichlet process (HDP) mixture models. In all mSigHdp analyses, the following parameters were applied: seedNumber = 1234, </w:t>
      </w:r>
      <w:r>
        <w:rPr>
          <w:rFonts w:eastAsia="Times New Roman"/>
        </w:rPr>
        <w:lastRenderedPageBreak/>
        <w:t>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8A9228A" w14:textId="77777777" w:rsidR="00183FBA" w:rsidRDefault="00000000">
      <w:pPr>
        <w:ind w:firstLineChars="200" w:firstLine="48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14:paraId="5B9EC1AD" w14:textId="77777777" w:rsidR="00183FBA" w:rsidRDefault="00000000">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14:paraId="7478F6DE" w14:textId="77777777" w:rsidR="00183FBA" w:rsidRDefault="00000000">
      <w:pPr>
        <w:ind w:firstLineChars="200" w:firstLine="480"/>
        <w:rPr>
          <w:rFonts w:eastAsia="Times New Roman"/>
        </w:rPr>
      </w:pPr>
      <w:r>
        <w:rPr>
          <w:rFonts w:eastAsia="Times New Roman" w:hint="eastAsia"/>
        </w:rPr>
        <w:t xml:space="preserve">For 83-type signatures, the signatures were matched to previously identified COSMIC signatures (v3.5, </w:t>
      </w:r>
      <w:hyperlink r:id="rId1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14:paraId="5FA38780" w14:textId="77777777" w:rsidR="00183FBA" w:rsidRDefault="00000000">
      <w:pPr>
        <w:ind w:firstLineChars="200" w:firstLine="48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t xml:space="preserve">to </w:t>
      </w:r>
      <w:r>
        <w:rPr>
          <w:rFonts w:eastAsia="Times New Roman" w:hint="eastAsia"/>
        </w:rPr>
        <w:t>the published</w:t>
      </w:r>
      <w:r>
        <w:t xml:space="preserve"> signatures and categorized them into three groups: (1) known signature: if</w:t>
      </w:r>
      <w:r>
        <w:rPr>
          <w:rFonts w:eastAsia="Times New Roman" w:hint="eastAsia"/>
        </w:rPr>
        <w:t xml:space="preserve"> an extracted</w:t>
      </w:r>
      <w:r>
        <w:t xml:space="preserve"> signature has a cosine similarity of ≥ 0.</w:t>
      </w:r>
      <w:r>
        <w:rPr>
          <w:rFonts w:hint="eastAsia"/>
        </w:rPr>
        <w:t>85</w:t>
      </w:r>
      <w:r>
        <w:t xml:space="preserve"> with a COSMIC signature; (2) merged signatures: if </w:t>
      </w:r>
      <w:r>
        <w:rPr>
          <w:rFonts w:eastAsia="Times New Roma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imes New Roman" w:hint="eastAsia"/>
        </w:rPr>
        <w:t xml:space="preserve">extracted </w:t>
      </w:r>
      <w:r>
        <w:t xml:space="preserve">signatures do not fit into the known signatures or the merged signatures. </w:t>
      </w:r>
      <w:r>
        <w:rPr>
          <w:rFonts w:eastAsia="Times New Roman" w:hint="eastAsia"/>
        </w:rPr>
        <w:t>We focused on (1) and (3) in this study.</w:t>
      </w:r>
    </w:p>
    <w:p w14:paraId="1F922639" w14:textId="77777777" w:rsidR="00183FBA" w:rsidRDefault="00000000">
      <w:pPr>
        <w:pStyle w:val="Heading2"/>
        <w:rPr>
          <w:rFonts w:eastAsia="Times New Roman"/>
        </w:rPr>
      </w:pPr>
      <w:r>
        <w:rPr>
          <w:rFonts w:eastAsia="Times New Roman" w:hint="eastAsia"/>
        </w:rPr>
        <w:lastRenderedPageBreak/>
        <w:t>Assignment of signature activity to each individual genome</w:t>
      </w:r>
    </w:p>
    <w:p w14:paraId="44D121B0" w14:textId="77777777" w:rsidR="00183FBA" w:rsidRDefault="00000000">
      <w:pPr>
        <w:pStyle w:val="normalfirst"/>
        <w:ind w:firstLineChars="200" w:firstLine="480"/>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S18)</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t xml:space="preserve">First, we applied the find_best_reconstruction_QP function from the </w:t>
      </w:r>
      <w:r>
        <w:rPr>
          <w:rFonts w:eastAsia="Times New Roma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14:paraId="260633A2" w14:textId="77777777" w:rsidR="00183FBA" w:rsidRDefault="00000000">
      <w:pPr>
        <w:pStyle w:val="Heading2"/>
        <w:rPr>
          <w:rFonts w:eastAsia="Times New Roman"/>
        </w:rPr>
      </w:pPr>
      <w:r>
        <w:rPr>
          <w:rFonts w:eastAsia="Times New Roman"/>
        </w:rPr>
        <w:t>Simulating synthetic cancer datasets</w:t>
      </w:r>
    </w:p>
    <w:p w14:paraId="56F78765" w14:textId="77777777" w:rsidR="00183FB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Pr>
            <w:rStyle w:val="Hyperlink"/>
          </w:rPr>
          <w:t>https://bmcbioinformatics.biomedcentral.com/articles/10.1186/s12859-020-03772-3</w:t>
        </w:r>
      </w:hyperlink>
      <w:r>
        <w:t xml:space="preserve">). </w:t>
      </w:r>
    </w:p>
    <w:p w14:paraId="71121AB6" w14:textId="77777777" w:rsidR="00183FBA" w:rsidRDefault="00000000">
      <w:pPr>
        <w:pStyle w:val="Heading2"/>
        <w:rPr>
          <w:rFonts w:eastAsia="Times New Roman"/>
        </w:rPr>
      </w:pPr>
      <w:r>
        <w:rPr>
          <w:rFonts w:eastAsia="Times New Roman"/>
        </w:rPr>
        <w:t>Annotating somatic indels based on transcribed versus un-transcribed strand</w:t>
      </w:r>
    </w:p>
    <w:p w14:paraId="5E979CF8" w14:textId="77777777" w:rsidR="00183FBA" w:rsidRDefault="00000000">
      <w:pPr>
        <w:ind w:firstLine="0"/>
      </w:pPr>
      <w:r>
        <w:t>We followed the method in (</w:t>
      </w:r>
      <w:hyperlink r:id="rId1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w:t>
      </w:r>
      <w:r>
        <w:lastRenderedPageBreak/>
        <w:t xml:space="preserve">strand was on the + strand of the genome, or else un-transcribed (sense). The logic was inverted for – strand indels. Indels in bidirectionally transcribed regions were ignored. </w:t>
      </w:r>
    </w:p>
    <w:p w14:paraId="796DC2D0" w14:textId="77777777" w:rsidR="00183FBA" w:rsidRDefault="00000000">
      <w:pPr>
        <w:pStyle w:val="Heading2"/>
        <w:rPr>
          <w:rFonts w:eastAsia="Times New Roman"/>
        </w:rPr>
      </w:pPr>
      <w:r>
        <w:rPr>
          <w:rFonts w:eastAsia="Times New Roman"/>
        </w:rPr>
        <w:t>Annotating somatic indels based on leading versus lagging replication strand</w:t>
      </w:r>
    </w:p>
    <w:p w14:paraId="02D794E9" w14:textId="77777777" w:rsidR="00183FBA" w:rsidRDefault="00000000">
      <w:r>
        <w:t>Replication strand was determined by wavelet-smoothed replication-timing signal data that indicated both “valleys” (replication termination zones) and “peaks” (replication initiation zones) (</w:t>
      </w:r>
      <w:hyperlink r:id="rId19">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3785F20" w14:textId="77777777" w:rsidR="00183FBA" w:rsidRDefault="00000000">
      <w:pPr>
        <w:pStyle w:val="Heading2"/>
        <w:rPr>
          <w:rFonts w:eastAsia="Times New Roman"/>
        </w:rPr>
      </w:pPr>
      <w:r>
        <w:rPr>
          <w:rFonts w:eastAsia="Times New Roman"/>
        </w:rPr>
        <w:t>Detecting strand asymmetries across cancer types</w:t>
      </w:r>
    </w:p>
    <w:p w14:paraId="5BE6161C" w14:textId="77777777" w:rsidR="00183FB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24EB0598" w14:textId="77777777" w:rsidR="00183FBA"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w:t>
      </w:r>
      <w:r>
        <w:lastRenderedPageBreak/>
        <w:t xml:space="preserve">un-transcribed strand vs transcribed strand mutation). The two types were denoted as +/- strand mutations strand mutations in all three cases. The ratio of real somatic indels and the ratio of simulated somatic indels was calculated separately: </w:t>
      </w:r>
    </w:p>
    <w:p w14:paraId="67424E64" w14:textId="77777777" w:rsidR="00183FBA" w:rsidRDefault="00000000">
      <w:r>
        <w:t>strand ratio = (+ strand_mutation_counts)·(- strand_mutation_counts)</w:t>
      </w:r>
      <w:r>
        <w:rPr>
          <w:vertAlign w:val="superscript"/>
        </w:rPr>
        <w:t xml:space="preserve">-1 </w:t>
      </w:r>
    </w:p>
    <w:p w14:paraId="75C638AD" w14:textId="77777777" w:rsidR="00183FBA" w:rsidRDefault="00000000">
      <w:pPr>
        <w:ind w:firstLine="0"/>
        <w:rPr>
          <w:shd w:val="clear" w:color="auto" w:fill="FFFF00"/>
        </w:rPr>
      </w:pPr>
      <w:r>
        <w:rPr>
          <w:shd w:val="clear" w:color="auto" w:fill="FFFF00"/>
        </w:rPr>
        <w:t>We calculated the osdds ratio between the strand ratio of real somatic indels and the strand ratio of simulated somatic indels.</w:t>
      </w:r>
    </w:p>
    <w:p w14:paraId="507949B2" w14:textId="77777777" w:rsidR="00183FBA" w:rsidRDefault="00000000">
      <w:pPr>
        <w:ind w:firstLine="0"/>
      </w:pPr>
      <w:r>
        <w:t>We then calculated p values calculated for the odds ratio using Fisher’s exact test. Only strand asymmetries with p value &gt; 0.05 were considered showing strand asymmetries.</w:t>
      </w:r>
    </w:p>
    <w:p w14:paraId="580D0D73" w14:textId="77777777" w:rsidR="00183FBA" w:rsidRDefault="00183FBA">
      <w:pPr>
        <w:ind w:firstLine="0"/>
      </w:pPr>
    </w:p>
    <w:p w14:paraId="07C9E22D" w14:textId="77777777" w:rsidR="00183FBA" w:rsidRDefault="00000000">
      <w:pPr>
        <w:ind w:firstLine="0"/>
      </w:pPr>
      <w:r>
        <w:t xml:space="preserve">For a given cancer type, for e.g. genic vs non-in a sup table </w:t>
      </w:r>
    </w:p>
    <w:p w14:paraId="66F69350" w14:textId="77777777" w:rsidR="00183FBA" w:rsidRDefault="00183FBA">
      <w:pPr>
        <w:ind w:firstLine="0"/>
      </w:pPr>
    </w:p>
    <w:p w14:paraId="1C7E6265" w14:textId="77777777" w:rsidR="00183FBA" w:rsidRDefault="00000000">
      <w:pPr>
        <w:ind w:firstLine="0"/>
      </w:pPr>
      <w:r>
        <w:t xml:space="preserve">             genic    non-genic</w:t>
      </w:r>
    </w:p>
    <w:p w14:paraId="3791799C" w14:textId="77777777" w:rsidR="00183FBA" w:rsidRDefault="00000000">
      <w:pPr>
        <w:ind w:firstLine="0"/>
      </w:pPr>
      <w:r>
        <w:t>real         100        600</w:t>
      </w:r>
    </w:p>
    <w:p w14:paraId="62F322FF" w14:textId="77777777" w:rsidR="00183FBA" w:rsidRDefault="00000000">
      <w:pPr>
        <w:ind w:firstLine="0"/>
      </w:pPr>
      <w:r>
        <w:t>syn          100        300</w:t>
      </w:r>
    </w:p>
    <w:p w14:paraId="24927BDC" w14:textId="77777777" w:rsidR="00183FBA" w:rsidRDefault="00183FBA">
      <w:pPr>
        <w:ind w:firstLine="0"/>
      </w:pPr>
    </w:p>
    <w:p w14:paraId="22A67DFE" w14:textId="77777777" w:rsidR="00183FBA" w:rsidRDefault="00000000">
      <w:pPr>
        <w:pStyle w:val="Heading2"/>
        <w:rPr>
          <w:rFonts w:eastAsia="Times New Roman"/>
        </w:rPr>
      </w:pPr>
      <w:r>
        <w:rPr>
          <w:rFonts w:eastAsia="Times New Roman"/>
        </w:rPr>
        <w:t>Analyses of replication timing across cancer types</w:t>
      </w:r>
    </w:p>
    <w:p w14:paraId="683C2F4B" w14:textId="77777777" w:rsidR="00183FBA" w:rsidRDefault="00000000">
      <w:r>
        <w:t>Replication timing data were obtained from (</w:t>
      </w:r>
      <w:hyperlink r:id="rId2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7EF4F06" w14:textId="77777777" w:rsidR="00183FBA" w:rsidRDefault="00000000">
      <w:r>
        <w:t xml:space="preserve">Replication timing mutation counts were generated for both real and simulated somatic indels. To classify whether the replication timing mutation density was increasing, flat, or </w:t>
      </w:r>
      <w:r>
        <w:lastRenderedPageBreak/>
        <w:t xml:space="preserve">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xml:space="preserve">), respectively. The two models are </w:t>
      </w:r>
      <w:r>
        <w:rPr>
          <w:i/>
          <w:iCs/>
        </w:rPr>
        <w:t>lm(R ~ c )</w:t>
      </w:r>
      <w:r>
        <w:t xml:space="preserve"> and </w:t>
      </w:r>
      <w:r>
        <w:rPr>
          <w:i/>
          <w:iCs/>
        </w:rPr>
        <w:t>lm(S ~ c)</w:t>
      </w:r>
      <w:r>
        <w:t>, where  replication timing denotes a vector c = (1,2,3 … 10).</w:t>
      </w:r>
    </w:p>
    <w:p w14:paraId="62B77FE8" w14:textId="77777777" w:rsidR="00183FBA" w:rsidRDefault="00000000">
      <w:r>
        <w:t xml:space="preserve">The replication timing trend for </w:t>
      </w:r>
      <w:r>
        <w:rPr>
          <w:rFonts w:eastAsia="Times New Roman" w:hint="eastAsia"/>
        </w:rPr>
        <w:t xml:space="preserve">an 83-type </w:t>
      </w:r>
      <w:r>
        <w:t xml:space="preserve">signature was determined for both real and simulated data. An </w:t>
      </w:r>
      <w:r>
        <w:rPr>
          <w:rFonts w:eastAsia="Times New Roma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4B2C23F" w14:textId="77777777" w:rsidR="00183FBA" w:rsidRDefault="00000000">
      <w:r>
        <w:t xml:space="preserve">If the trends of a certain </w:t>
      </w:r>
      <w:r>
        <w:rPr>
          <w:rFonts w:eastAsia="Times New Roman" w:hint="eastAsia"/>
        </w:rPr>
        <w:t>83-type</w:t>
      </w:r>
      <w:r>
        <w:t xml:space="preserve"> signature for the two datasets (real and simulated data) were different, the relative trend for real data comparing the simulated data was the final trend for the </w:t>
      </w:r>
      <w:r>
        <w:rPr>
          <w:rFonts w:eastAsia="Times New Roman" w:hint="eastAsia"/>
        </w:rPr>
        <w:t>83-type</w:t>
      </w:r>
      <w:r>
        <w:t xml:space="preserve"> signature. Otherwise, if the trends of a certain </w:t>
      </w:r>
      <w:r>
        <w:rPr>
          <w:rFonts w:eastAsia="Times New Roman" w:hint="eastAsia"/>
        </w:rPr>
        <w:t>83-type</w:t>
      </w:r>
      <w:r>
        <w:t xml:space="preserve"> signature for the two dataset were the same, a third multiple linear regression model was fitted: </w:t>
      </w:r>
      <w:r>
        <w:rPr>
          <w:i/>
          <w:iCs/>
        </w:rPr>
        <w:t>lm(R ~ S + c)</w:t>
      </w:r>
    </w:p>
    <w:p w14:paraId="48D2B1FE" w14:textId="77777777" w:rsidR="00183FBA" w:rsidRDefault="00183FBA"/>
    <w:p w14:paraId="56034593" w14:textId="77777777" w:rsidR="00183FBA" w:rsidRDefault="00000000">
      <w:pPr>
        <w:rPr>
          <w:rFonts w:eastAsia="Times New Roman"/>
        </w:rPr>
      </w:pPr>
      <w:r>
        <w:t xml:space="preserve">Similarly, the final trend of an </w:t>
      </w:r>
      <w:r>
        <w:rPr>
          <w:rFonts w:eastAsia="Times New Roman" w:hint="eastAsia"/>
        </w:rPr>
        <w:t>83-type</w:t>
      </w:r>
      <w:r>
        <w:t xml:space="preserve"> signature were determined by the significance of the coefficient of replication timing. If it is not significant, an </w:t>
      </w:r>
      <w:r>
        <w:rPr>
          <w:rFonts w:eastAsia="Times New Roman" w:hint="eastAsia"/>
        </w:rPr>
        <w:t>83-type</w:t>
      </w:r>
      <w:r>
        <w:t xml:space="preserve"> signature was considered to be generally unaffected by replication timing. Otherwise, if the coefficient of replication timing &gt; 0, an </w:t>
      </w:r>
      <w:r>
        <w:rPr>
          <w:rFonts w:eastAsia="Times New Roman" w:hint="eastAsia"/>
        </w:rPr>
        <w:t>83-type</w:t>
      </w:r>
      <w:r>
        <w:t xml:space="preserve"> signature was considered to be increasing from early to late replicating regions; if the coefficient of replication timing &lt; 0, an </w:t>
      </w:r>
      <w:r>
        <w:rPr>
          <w:rFonts w:eastAsia="Times New Roman" w:hint="eastAsia"/>
        </w:rPr>
        <w:t>83-type</w:t>
      </w:r>
      <w:r>
        <w:t xml:space="preserve"> signature was considered to be decreasing from early to late replicating regions.</w:t>
      </w:r>
    </w:p>
    <w:p w14:paraId="5690EC3F" w14:textId="77777777" w:rsidR="00183FBA" w:rsidRDefault="00000000">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14:paraId="10C4108B" w14:textId="77777777" w:rsidR="00183FBA" w:rsidRDefault="00000000">
      <w:pPr>
        <w:rPr>
          <w:color w:val="000000"/>
        </w:rPr>
      </w:pPr>
      <w:r>
        <w:t>For PCAWG genomes, the MSI</w:t>
      </w:r>
      <w:r>
        <w:rPr>
          <w:rFonts w:eastAsia="Times New Roman" w:hint="eastAsia"/>
        </w:rPr>
        <w:t xml:space="preserve"> (microsatellite instability)</w:t>
      </w:r>
      <w:r>
        <w:t xml:space="preserve"> status was evaluated by the PCAWG working group and obtained from the synapse repository (</w:t>
      </w:r>
      <w:hyperlink r:id="rId21" w:anchor="!Synapse:syn8016399" w:history="1">
        <w:r>
          <w:rPr>
            <w:rStyle w:val="Hyperlink"/>
          </w:rPr>
          <w:t>https://www.synapse.org/#!Synapse:syn8016399</w:t>
        </w:r>
      </w:hyperlink>
      <w:r>
        <w:rPr>
          <w:rFonts w:hint="eastAsia"/>
        </w:rPr>
        <w:t xml:space="preserve">, the data was downloaded on May </w:t>
      </w:r>
      <w:r>
        <w:rPr>
          <w:rFonts w:hint="eastAsia"/>
        </w:rPr>
        <w:lastRenderedPageBreak/>
        <w:t>2022</w:t>
      </w:r>
      <w:r>
        <w:t xml:space="preserve">). For </w:t>
      </w:r>
      <w:r>
        <w:rPr>
          <w:rFonts w:eastAsia="Times New Roma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4CBB6E4D" w14:textId="77777777" w:rsidR="00183FBA" w:rsidRDefault="00000000">
      <w:pPr>
        <w:pStyle w:val="Heading2"/>
        <w:rPr>
          <w:rFonts w:eastAsia="Times New Roman"/>
        </w:rPr>
      </w:pPr>
      <w:r>
        <w:rPr>
          <w:rFonts w:eastAsia="Times New Roman"/>
        </w:rPr>
        <w:t>Extended sequence context</w:t>
      </w:r>
      <w:r>
        <w:rPr>
          <w:rFonts w:eastAsia="Times New Roman" w:hint="eastAsia"/>
        </w:rPr>
        <w:t xml:space="preserve"> analysis</w:t>
      </w:r>
    </w:p>
    <w:p w14:paraId="4D835697" w14:textId="77777777" w:rsidR="00183FB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429DB7CC" w14:textId="77777777" w:rsidR="00183FBA" w:rsidRDefault="00183FBA">
      <w:pPr>
        <w:pStyle w:val="Heading1"/>
      </w:pPr>
    </w:p>
    <w:p w14:paraId="37A0D7E3" w14:textId="77777777" w:rsidR="00183FBA" w:rsidRDefault="00000000">
      <w:pPr>
        <w:pStyle w:val="Heading1"/>
      </w:pPr>
      <w:r>
        <w:rPr>
          <w:rFonts w:hint="eastAsia"/>
        </w:rPr>
        <w:t>Funding</w:t>
      </w:r>
    </w:p>
    <w:p w14:paraId="308703F2" w14:textId="77777777" w:rsidR="00183FB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46AF24A5" w14:textId="77777777" w:rsidR="00183FBA" w:rsidRDefault="00000000">
      <w:pPr>
        <w:pStyle w:val="Heading1"/>
      </w:pPr>
      <w:r>
        <w:rPr>
          <w:rFonts w:hint="eastAsia"/>
        </w:rPr>
        <w:t>Author contributions</w:t>
      </w:r>
    </w:p>
    <w:p w14:paraId="481D9D97" w14:textId="77777777" w:rsidR="00183FBA" w:rsidRDefault="00000000">
      <w:pPr>
        <w:pStyle w:val="normalfirst"/>
        <w:rPr>
          <w:rFonts w:eastAsia="Times New Roman"/>
        </w:rPr>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333386EB" w14:textId="77777777" w:rsidR="00183FBA" w:rsidRDefault="00000000">
      <w:pPr>
        <w:pStyle w:val="normalfirst"/>
        <w:rPr>
          <w:rFonts w:eastAsia="Times New Roman"/>
        </w:rPr>
      </w:pPr>
      <w:r>
        <w:rPr>
          <w:b/>
          <w:bCs/>
        </w:rPr>
        <w:t>Declaration of generative AI and AI-assisted technologies in the writing process.</w:t>
      </w:r>
      <w:r>
        <w:rPr>
          <w:rFonts w:eastAsia="Times New Roman"/>
        </w:rPr>
        <w:t xml:space="preserve">  </w:t>
      </w:r>
    </w:p>
    <w:p w14:paraId="5ACBAFC6" w14:textId="77777777" w:rsidR="00183FBA" w:rsidRDefault="00000000">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14:paraId="532326EE" w14:textId="77777777" w:rsidR="00183FBA" w:rsidRDefault="00000000">
      <w:pPr>
        <w:pStyle w:val="Heading1"/>
      </w:pPr>
      <w:r>
        <w:br w:type="page"/>
      </w:r>
    </w:p>
    <w:p w14:paraId="069956CD" w14:textId="77777777" w:rsidR="00183FBA" w:rsidRDefault="00000000">
      <w:pPr>
        <w:pStyle w:val="Heading1"/>
        <w:spacing w:before="0"/>
      </w:pPr>
      <w:r>
        <w:lastRenderedPageBreak/>
        <w:t>Reference</w:t>
      </w:r>
    </w:p>
    <w:p w14:paraId="43A39DE3" w14:textId="77777777" w:rsidR="00183FBA" w:rsidRDefault="00000000">
      <w:pPr>
        <w:pStyle w:val="Bibliography1"/>
      </w:pPr>
      <w:bookmarkStart w:id="32"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76ECD5C5" w14:textId="77777777" w:rsidR="00183FBA" w:rsidRDefault="00000000">
      <w:pPr>
        <w:pStyle w:val="Bibliography1"/>
      </w:pPr>
      <w:r>
        <w:t xml:space="preserve">Alexandrov, Ludmil B., Jaegil Kim, Nicholas J. Haradhvala, et al. 2020a. ‘The Repertoire of Mutational Signatures in Human Cancer’. </w:t>
      </w:r>
      <w:r>
        <w:rPr>
          <w:i/>
        </w:rPr>
        <w:t>Nature</w:t>
      </w:r>
      <w:r>
        <w:t xml:space="preserve"> 578 (7793): 94–101. https://doi.org/10.1038/s41586-020-1943-3.</w:t>
      </w:r>
    </w:p>
    <w:p w14:paraId="76D1CB44" w14:textId="77777777" w:rsidR="00183FBA" w:rsidRDefault="00000000">
      <w:pPr>
        <w:pStyle w:val="Bibliography1"/>
      </w:pPr>
      <w:r>
        <w:t xml:space="preserve">Alexandrov, Ludmil B., Jaegil Kim, Nicholas J. Haradhvala, et al. 2020b. ‘The Repertoire of Mutational Signatures in Human Cancer’. </w:t>
      </w:r>
      <w:r>
        <w:rPr>
          <w:i/>
        </w:rPr>
        <w:t>Nature</w:t>
      </w:r>
      <w:r>
        <w:t xml:space="preserve"> 578 (7793): 94–101. https://doi.org/10.1038/s41586-020-1943-3.</w:t>
      </w:r>
    </w:p>
    <w:p w14:paraId="696FF4B3" w14:textId="77777777" w:rsidR="00183FB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70B60C1" w14:textId="77777777" w:rsidR="00183FBA"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5A8B8AE7" w14:textId="77777777" w:rsidR="00183FBA"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65CA200" w14:textId="77777777" w:rsidR="00183FB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1ABFAAED" w14:textId="77777777" w:rsidR="00183FBA"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460D002B" w14:textId="77777777" w:rsidR="00183FBA" w:rsidRDefault="00000000">
      <w:pPr>
        <w:pStyle w:val="Bibliography1"/>
      </w:pPr>
      <w:r>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7BCC42B1" w14:textId="77777777" w:rsidR="00183FBA"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66276EAB" w14:textId="77777777" w:rsidR="00183FB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11CD8565" w14:textId="77777777" w:rsidR="00183FBA"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14831D0E" w14:textId="77777777" w:rsidR="00183FBA"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4FE5FC1" w14:textId="77777777" w:rsidR="00183FBA"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DAC3566" w14:textId="77777777" w:rsidR="00183FB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2894C11" w14:textId="77777777" w:rsidR="00183FBA"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283802FE" w14:textId="77777777" w:rsidR="00183FB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07D78373" w14:textId="77777777" w:rsidR="00183FBA"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71DA7697" w14:textId="77777777" w:rsidR="00183FBA"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65047850" w14:textId="77777777" w:rsidR="00183FBA" w:rsidRDefault="00000000">
      <w:pPr>
        <w:pStyle w:val="Bibliography1"/>
      </w:pPr>
      <w:r>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77887FD5" w14:textId="77777777" w:rsidR="00183FBA" w:rsidRDefault="00000000">
      <w:pPr>
        <w:pStyle w:val="Bibliography1"/>
      </w:pPr>
      <w:r>
        <w:t xml:space="preserve">Lawson, Andrew R. J., Federico Abascal, Tim H. H. Coorens, et al. 2020. ‘Extensive Heterogeneity in Somatic Mutation and Selection in the Human Bladder’. </w:t>
      </w:r>
      <w:r>
        <w:rPr>
          <w:i/>
        </w:rPr>
        <w:t>Science</w:t>
      </w:r>
      <w:r>
        <w:t xml:space="preserve"> 370 (6512): 75–82. https://doi.org/10.1126/science.aba8347.</w:t>
      </w:r>
    </w:p>
    <w:p w14:paraId="4A9D085D" w14:textId="77777777" w:rsidR="00183FB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0556A68A" w14:textId="77777777" w:rsidR="00183FB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83FABEF" w14:textId="77777777" w:rsidR="00183FBA"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6DB3EBAE" w14:textId="77777777" w:rsidR="00183FBA"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A6555B8" w14:textId="77777777" w:rsidR="00183FB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0C962FB7" w14:textId="77777777" w:rsidR="00183FBA"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78B137F9" w14:textId="77777777" w:rsidR="00183FBA"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1BD4A03" w14:textId="77777777" w:rsidR="00183FBA"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32"/>
    </w:p>
    <w:p w14:paraId="15CD26FD" w14:textId="77777777" w:rsidR="00183FBA" w:rsidRDefault="00183FBA"/>
    <w:p w14:paraId="7A5D7FD7" w14:textId="77777777" w:rsidR="00183FBA" w:rsidRDefault="00000000">
      <w:pPr>
        <w:spacing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183FBA" w14:paraId="4A26DD23"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6FFE4354" w14:textId="77777777" w:rsidR="00183FBA" w:rsidRDefault="00000000">
            <w:pPr>
              <w:pageBreakBefore/>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0869E0D6"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60E313D5"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27CC506"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079F2736"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7FB006A7" w14:textId="77777777" w:rsidR="00183FBA" w:rsidRDefault="00000000">
            <w:pPr>
              <w:suppressAutoHyphens w:val="0"/>
              <w:spacing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1EFC22CE"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49D003FD"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4C35E1DE"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83FBA" w14:paraId="7C38D0F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FFE593C"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BB2449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30FF1181"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444F4D0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314A736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03A5EA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A4D3E6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05EB45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83FBA" w14:paraId="694394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B61EB4"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27C49A10"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3C5713E8"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73A378A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1599D66"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5F84B5D"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1700B8B"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277CEC1" w14:textId="77777777" w:rsidR="00183FBA" w:rsidRDefault="00183FBA">
            <w:pPr>
              <w:rPr>
                <w:rFonts w:ascii="Liberation Sans" w:eastAsia="Liberation Sans" w:hAnsi="Liberation Sans"/>
                <w:sz w:val="20"/>
                <w:szCs w:val="20"/>
              </w:rPr>
            </w:pPr>
          </w:p>
        </w:tc>
      </w:tr>
      <w:tr w:rsidR="00183FBA" w14:paraId="4D13660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9A9EA2"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6C488B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5CBDA27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720F25E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2D9A8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28E333D"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4509137"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1DFAD98" w14:textId="77777777" w:rsidR="00183FBA" w:rsidRDefault="00183FBA">
            <w:pPr>
              <w:rPr>
                <w:rFonts w:ascii="Liberation Sans" w:eastAsia="Liberation Sans" w:hAnsi="Liberation Sans"/>
                <w:sz w:val="20"/>
                <w:szCs w:val="20"/>
              </w:rPr>
            </w:pPr>
          </w:p>
        </w:tc>
      </w:tr>
      <w:tr w:rsidR="00183FBA" w14:paraId="1F2BC21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3EE5A6"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13FD04D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6CAFAFE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2AFC1E2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51E04C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BAB1A9F"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E28F9B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4FFAA0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83FBA" w14:paraId="2BE4FE8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CC2A301"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01F460B7"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72F0FF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03855002"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C5B00D8"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A3C2713"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0B3DE1E"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F5CF30C" w14:textId="77777777" w:rsidR="00183FBA" w:rsidRDefault="00183FBA">
            <w:pPr>
              <w:rPr>
                <w:rFonts w:ascii="Liberation Sans" w:eastAsia="Liberation Sans" w:hAnsi="Liberation Sans"/>
                <w:sz w:val="20"/>
                <w:szCs w:val="20"/>
              </w:rPr>
            </w:pPr>
          </w:p>
        </w:tc>
      </w:tr>
      <w:tr w:rsidR="00183FBA" w14:paraId="083F9BD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B04917A"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94DBD6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4667E83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1B4470FB"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BAF0F59"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5EC8BB7"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EB8E923"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D4AEB7" w14:textId="77777777" w:rsidR="00183FBA" w:rsidRDefault="00183FBA">
            <w:pPr>
              <w:rPr>
                <w:rFonts w:ascii="Liberation Sans" w:eastAsia="Liberation Sans" w:hAnsi="Liberation Sans"/>
                <w:sz w:val="20"/>
                <w:szCs w:val="20"/>
              </w:rPr>
            </w:pPr>
          </w:p>
        </w:tc>
      </w:tr>
      <w:tr w:rsidR="00183FBA" w14:paraId="3823C91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B4B5105"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636FD73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54A09E91"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30EFF9FE"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1564C89"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6C2CD4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A4A0EC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625185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83FBA" w14:paraId="2F1738D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FE5C75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3D1CAACC"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0FD1205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64D16C7C"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513BBF9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C30F470"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D1E79ED"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5386213" w14:textId="77777777" w:rsidR="00183FBA" w:rsidRDefault="00183FBA">
            <w:pPr>
              <w:rPr>
                <w:rFonts w:ascii="Liberation Sans" w:eastAsia="Liberation Sans" w:hAnsi="Liberation Sans"/>
                <w:sz w:val="20"/>
                <w:szCs w:val="20"/>
              </w:rPr>
            </w:pPr>
          </w:p>
        </w:tc>
      </w:tr>
      <w:tr w:rsidR="00183FBA" w14:paraId="685726F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EB4919"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65600D2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30E4D56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55DA9FA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3F2C03C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169A3DB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363E6D72"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3F991B2"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09593DF8"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7FA321"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25A2266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58A8B36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AF7832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46E8DD6"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0442675"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1841691"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3629E21"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1C74EE36"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AB0EBD"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2061329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4BDF959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5B7A928D"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8551D1E"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44ABEF9"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28D1D58"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AAB65FF" w14:textId="77777777" w:rsidR="00183FBA" w:rsidRDefault="00183FBA">
            <w:pPr>
              <w:rPr>
                <w:rFonts w:ascii="Liberation Sans" w:eastAsia="Liberation Sans" w:hAnsi="Liberation Sans"/>
                <w:sz w:val="20"/>
                <w:szCs w:val="20"/>
              </w:rPr>
            </w:pPr>
          </w:p>
        </w:tc>
      </w:tr>
      <w:tr w:rsidR="00183FBA" w14:paraId="6B178EC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360DD"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4A07D08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8D8C25C"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1EA5170B"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E71CFBF"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F3BA88E"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BE2515"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FA153C4" w14:textId="77777777" w:rsidR="00183FBA" w:rsidRDefault="00183FBA">
            <w:pPr>
              <w:rPr>
                <w:rFonts w:ascii="Liberation Sans" w:eastAsia="Liberation Sans" w:hAnsi="Liberation Sans"/>
                <w:sz w:val="20"/>
                <w:szCs w:val="20"/>
              </w:rPr>
            </w:pPr>
          </w:p>
        </w:tc>
      </w:tr>
      <w:tr w:rsidR="00183FBA" w14:paraId="1318F9B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1CE070C"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57F1103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56087C1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1E8DEC0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45A4A8A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58E7D06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503324A2"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5511488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83FBA" w14:paraId="008DAD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3035DF"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148F90C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62B27AF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7424FB1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49C0E676"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08561FB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B0ADFE8"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B3CA4DF"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4426B3E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6477F9E"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FF7AD3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BBDBE2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2933979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4C082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6EE26B4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7F3A873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03613B25"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83FBA" w14:paraId="5D4DAE8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BD0D7B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35EFB0A4"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758496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2105261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5D927414"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567C008D"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6E2E0087"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5D73D0A"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1E9B4F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2D61AA"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0086A7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6DE8F114"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1C757FA8"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2AF1F61"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353B3C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6D25274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456068A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83FBA" w14:paraId="5E1B1C8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342F50"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3807F37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415040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548B040"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9E5F10"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B1E485"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619897E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3607A39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83FBA" w14:paraId="3AD882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21ACD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13EFEF5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76BD005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4BC3FF59"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27D412"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7FF8F1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3221CD1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5C67DE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83FBA" w14:paraId="14AC81D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01E79E"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271F6966"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7B1B2F17"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CEA78A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A2426F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47F6B7D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5EF71668"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48237E2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83FBA" w14:paraId="2AF5046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FE6B8D"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1370D485"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6A95B30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C02F78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68DECEE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46B4847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164A3EB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3955C861"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83FBA" w14:paraId="6BCA872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4B6FB7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AD9334F"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099230F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486C862F"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664A3DA"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DEE8F7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240223E4"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127B800"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5E3491D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AEE07E"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6E72F8A"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E17C54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F92B10"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1F5C39A"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5DCD0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58F5678"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6F4F3A9"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2E7735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CB606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123D7EC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5C3620D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2397A670"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BD8DC99"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939F1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F4C0AF4"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34D104D"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2F58E5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5640E0"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E038C5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92BE3F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13D42B1B"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4D86782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3ABB9B9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4A4C2D7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677930F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83FBA" w14:paraId="0882E46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6D0550"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7182A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2AAE7AD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2AC6434"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8CD24B"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76C51F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190CBCB"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AE6EF9A"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2168FA6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80136A"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6C75897F"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7428AB9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574CCE8C"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89CBE55"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03E84D0"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97A19C6"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C3B7E4C" w14:textId="77777777" w:rsidR="00183FBA" w:rsidRDefault="00183FBA">
            <w:pPr>
              <w:rPr>
                <w:rFonts w:ascii="Liberation Sans" w:eastAsia="Liberation Sans" w:hAnsi="Liberation Sans"/>
                <w:sz w:val="20"/>
                <w:szCs w:val="20"/>
              </w:rPr>
            </w:pPr>
          </w:p>
        </w:tc>
      </w:tr>
      <w:tr w:rsidR="00183FBA" w14:paraId="400AF68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5A5419"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4B591C6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34A33C50"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754D98EF"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CF0FACA"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3D1FBD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29B81704"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657C41B"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25B8CFE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9FA3A0"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553F7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3717CB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53CB7929"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F40890"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FF9610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D0BB516"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52EF6A3"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1F92689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0D11DC"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1672F43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530F02B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01E93866"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2560D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40021E0"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42040CD"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462DBAE" w14:textId="77777777" w:rsidR="00183FBA" w:rsidRDefault="00183FBA">
            <w:pPr>
              <w:rPr>
                <w:rFonts w:ascii="Liberation Sans" w:eastAsia="Liberation Sans" w:hAnsi="Liberation Sans"/>
                <w:sz w:val="20"/>
                <w:szCs w:val="20"/>
              </w:rPr>
            </w:pPr>
          </w:p>
        </w:tc>
      </w:tr>
      <w:tr w:rsidR="00183FBA" w14:paraId="6A5FF36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C27205"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149D008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66295B22"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5B9A145F"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10C655E"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3998D5C"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04D0BD78"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015D2A"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651D24A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0A1D91"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51D51BD"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0D5A87C"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0FAD7B4F" w14:textId="77777777" w:rsidR="00183FBA"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0D604C83" w14:textId="77777777" w:rsidR="00183FBA"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4263E3A7"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0D216200"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B955CB"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36E2778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135D87"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43F7D57D"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15C6074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69114990"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57400A4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4ED828E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55A511B5"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A54204"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7CFDB75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9117634"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DF066C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2AA3E1D8"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6C1BF77A"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F205A0"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ACE79CE"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0E23B3E6"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AB92CF0"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5B4270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C709C97" w14:textId="77777777" w:rsidR="00183FB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7734280A"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6F10A0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0819CAAB"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80B0BA"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408A8A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1B3B341D"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494AF26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83FBA" w14:paraId="1B65B54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E772BC"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30294A26"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B0E61F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31D0B8CA"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4DED7C"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B9C6831"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1A55F7D8"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6F11DD5A"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83FBA" w14:paraId="6E72FD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E7B703"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7F64C89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5870A5F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749BF5D4"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32C4F2"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CBA465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312A3E72"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CAA5B07"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544E124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75D42D"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5F59A6FA"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D679C7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AEB2ED1"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B6FE5BD"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ECD4705"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042A6FF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6B165F2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83FBA" w14:paraId="4C4A0E8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1FC180"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274F1C9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2107FB69"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4A44B3F9"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B94693"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6D55D8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4272D67F"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A9B8BAB"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50AD67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01CA1CB"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7577C48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0EBB82C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4A95D3CE"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70EB5DC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107A64C2"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42780D84"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12AB4CC9"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83FBA" w14:paraId="02027B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6C5BB5"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030703A7"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F23C96D"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AF3376F"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29031"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A826CBC"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58924655"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EA10324"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7471EA6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3E69B7"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596A5EC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0C4070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B4FBED0"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580EC7" w14:textId="77777777" w:rsidR="00183FBA" w:rsidRDefault="00183FB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63B9A45"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479A28D3"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01D05BE"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1BABCD1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39EA27"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35D8AAB8"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541A126F"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07421201"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0CB97680"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203C093" w14:textId="77777777" w:rsidR="00183FB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4FFAA76" w14:textId="77777777" w:rsidR="00183FBA" w:rsidRDefault="00183FB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F3B2949" w14:textId="77777777" w:rsidR="00183FBA" w:rsidRDefault="00183FBA">
            <w:pPr>
              <w:suppressAutoHyphens w:val="0"/>
              <w:spacing w:line="240" w:lineRule="auto"/>
              <w:ind w:firstLine="0"/>
              <w:jc w:val="center"/>
              <w:rPr>
                <w:rFonts w:ascii="Liberation Sans" w:eastAsia="Liberation Sans" w:hAnsi="Liberation Sans"/>
                <w:sz w:val="20"/>
                <w:szCs w:val="20"/>
              </w:rPr>
            </w:pPr>
          </w:p>
        </w:tc>
      </w:tr>
      <w:tr w:rsidR="00183FBA" w14:paraId="15E8C79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E85AC1" w14:textId="77777777" w:rsidR="00183FB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74EE5EB3"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7B3E8E4"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4BFA7A5F"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63357EFA" w14:textId="77777777" w:rsidR="00183FB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6552F50" w14:textId="77777777" w:rsidR="00183FBA" w:rsidRDefault="00183FB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D04D884" w14:textId="77777777" w:rsidR="00183FBA" w:rsidRDefault="00183FB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DF33299" w14:textId="77777777" w:rsidR="00183FBA" w:rsidRDefault="00183FBA">
            <w:pPr>
              <w:rPr>
                <w:rFonts w:ascii="Liberation Sans" w:eastAsia="Liberation Sans" w:hAnsi="Liberation Sans"/>
                <w:sz w:val="20"/>
                <w:szCs w:val="20"/>
              </w:rPr>
            </w:pPr>
          </w:p>
        </w:tc>
      </w:tr>
    </w:tbl>
    <w:p w14:paraId="1E3E9613" w14:textId="77777777" w:rsidR="00183FBA" w:rsidRDefault="00000000">
      <w:pPr>
        <w:spacing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621007AE" w14:textId="77777777" w:rsidR="00183FBA" w:rsidRDefault="00000000">
      <w:pPr>
        <w:spacing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1C038192" w14:textId="77777777" w:rsidR="00183FBA" w:rsidRDefault="00000000">
      <w:pPr>
        <w:spacing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4D8E6BF8" w14:textId="77777777" w:rsidR="00183FBA" w:rsidRDefault="00000000">
      <w:pPr>
        <w:spacing w:line="240" w:lineRule="auto"/>
        <w:ind w:firstLine="0"/>
        <w:rPr>
          <w:sz w:val="18"/>
          <w:szCs w:val="18"/>
        </w:rPr>
      </w:pPr>
      <w:r>
        <w:br w:type="page"/>
      </w:r>
    </w:p>
    <w:p w14:paraId="6BD0F031" w14:textId="77777777" w:rsidR="00183FBA" w:rsidRDefault="00000000">
      <w:pPr>
        <w:spacing w:line="240" w:lineRule="auto"/>
        <w:ind w:firstLine="0"/>
        <w:jc w:val="center"/>
      </w:pPr>
      <w:r>
        <w:rPr>
          <w:noProof/>
        </w:rPr>
        <w:lastRenderedPageBreak/>
        <w:drawing>
          <wp:inline distT="0" distB="0" distL="0" distR="0" wp14:anchorId="2BB93A4F" wp14:editId="7BFEA7EF">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2"/>
                    <a:srcRect l="10810" t="8818" r="7605" b="33065"/>
                    <a:stretch>
                      <a:fillRect/>
                    </a:stretch>
                  </pic:blipFill>
                  <pic:spPr bwMode="auto">
                    <a:xfrm>
                      <a:off x="0" y="0"/>
                      <a:ext cx="5247005" cy="4836160"/>
                    </a:xfrm>
                    <a:prstGeom prst="rect">
                      <a:avLst/>
                    </a:prstGeom>
                    <a:noFill/>
                  </pic:spPr>
                </pic:pic>
              </a:graphicData>
            </a:graphic>
          </wp:inline>
        </w:drawing>
      </w:r>
    </w:p>
    <w:p w14:paraId="499B859B" w14:textId="77777777" w:rsidR="00183FBA" w:rsidRDefault="00000000">
      <w:pPr>
        <w:spacing w:line="240" w:lineRule="auto"/>
        <w:ind w:firstLine="0"/>
        <w:rPr>
          <w:rFonts w:eastAsiaTheme="minorEastAsia"/>
          <w:b/>
          <w:bCs/>
          <w:sz w:val="18"/>
          <w:szCs w:val="18"/>
        </w:rPr>
      </w:pPr>
      <w:r>
        <w:rPr>
          <w:b/>
          <w:bCs/>
          <w:sz w:val="18"/>
          <w:szCs w:val="18"/>
        </w:rPr>
        <w:t>Figure 1 The aristolochic acid (AA) indel signatures (signature 23) in the three classification schemes.</w:t>
      </w:r>
    </w:p>
    <w:p w14:paraId="6E61643F" w14:textId="77777777" w:rsidR="00183FBA" w:rsidRDefault="00183FBA">
      <w:pPr>
        <w:spacing w:line="240" w:lineRule="auto"/>
        <w:ind w:firstLine="0"/>
        <w:rPr>
          <w:rFonts w:eastAsiaTheme="minorEastAsia"/>
          <w:b/>
          <w:bCs/>
          <w:sz w:val="18"/>
          <w:szCs w:val="18"/>
        </w:rPr>
      </w:pPr>
    </w:p>
    <w:p w14:paraId="294FB608" w14:textId="77777777" w:rsidR="00183FBA"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72070F2B" w14:textId="77777777" w:rsidR="00183FBA" w:rsidRDefault="00183FBA">
      <w:pPr>
        <w:spacing w:line="240" w:lineRule="auto"/>
        <w:ind w:firstLine="0"/>
        <w:rPr>
          <w:rFonts w:eastAsiaTheme="minorEastAsia"/>
          <w:b/>
          <w:bCs/>
          <w:sz w:val="18"/>
          <w:szCs w:val="18"/>
        </w:rPr>
      </w:pPr>
    </w:p>
    <w:p w14:paraId="13DDE2A7" w14:textId="77777777" w:rsidR="00183FBA"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424CE83A" w14:textId="77777777" w:rsidR="00183FBA" w:rsidRDefault="00183FBA">
      <w:pPr>
        <w:spacing w:line="240" w:lineRule="auto"/>
        <w:ind w:firstLine="0"/>
        <w:rPr>
          <w:rFonts w:eastAsiaTheme="minorEastAsia"/>
          <w:b/>
          <w:bCs/>
          <w:sz w:val="18"/>
          <w:szCs w:val="18"/>
        </w:rPr>
      </w:pPr>
    </w:p>
    <w:p w14:paraId="1B75BE75" w14:textId="77777777" w:rsidR="00183FBA" w:rsidRDefault="00000000">
      <w:pPr>
        <w:spacing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14:paraId="0F1849A0" w14:textId="77777777" w:rsidR="00183FBA" w:rsidRDefault="00000000">
      <w:pPr>
        <w:spacing w:line="240" w:lineRule="auto"/>
        <w:ind w:firstLine="0"/>
        <w:rPr>
          <w:rFonts w:eastAsiaTheme="minorEastAsia"/>
        </w:rPr>
      </w:pPr>
      <w:r>
        <w:rPr>
          <w:noProof/>
        </w:rPr>
        <w:lastRenderedPageBreak/>
        <w:drawing>
          <wp:inline distT="0" distB="0" distL="0" distR="0" wp14:anchorId="737D87B6" wp14:editId="31CC561E">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3"/>
                    <a:stretch>
                      <a:fillRect/>
                    </a:stretch>
                  </pic:blipFill>
                  <pic:spPr bwMode="auto">
                    <a:xfrm>
                      <a:off x="0" y="0"/>
                      <a:ext cx="5939790" cy="6678930"/>
                    </a:xfrm>
                    <a:prstGeom prst="rect">
                      <a:avLst/>
                    </a:prstGeom>
                    <a:noFill/>
                  </pic:spPr>
                </pic:pic>
              </a:graphicData>
            </a:graphic>
          </wp:inline>
        </w:drawing>
      </w:r>
    </w:p>
    <w:p w14:paraId="31CD3EAA" w14:textId="77777777" w:rsidR="00183FBA" w:rsidRDefault="00183FBA">
      <w:pPr>
        <w:spacing w:line="240" w:lineRule="auto"/>
        <w:ind w:firstLine="0"/>
        <w:rPr>
          <w:rFonts w:eastAsiaTheme="minorEastAsia"/>
          <w:b/>
          <w:bCs/>
          <w:sz w:val="16"/>
          <w:szCs w:val="16"/>
        </w:rPr>
      </w:pPr>
    </w:p>
    <w:p w14:paraId="29E9DACC" w14:textId="77777777" w:rsidR="00183FBA" w:rsidRDefault="00000000">
      <w:pPr>
        <w:spacing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B7B9230" w14:textId="77777777" w:rsidR="00183FBA" w:rsidRDefault="00000000">
      <w:pPr>
        <w:spacing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1EA3F941" w14:textId="77777777" w:rsidR="00183FBA" w:rsidRDefault="00183FBA">
      <w:pPr>
        <w:spacing w:line="240" w:lineRule="auto"/>
        <w:ind w:firstLine="0"/>
        <w:rPr>
          <w:rFonts w:eastAsiaTheme="minorEastAsia"/>
          <w:sz w:val="28"/>
          <w:szCs w:val="28"/>
        </w:rPr>
      </w:pPr>
    </w:p>
    <w:p w14:paraId="139E06D6" w14:textId="77777777" w:rsidR="00183FBA" w:rsidRDefault="00000000">
      <w:pPr>
        <w:spacing w:line="240" w:lineRule="auto"/>
        <w:ind w:firstLine="0"/>
      </w:pPr>
      <w:r>
        <w:br w:type="page"/>
      </w:r>
    </w:p>
    <w:p w14:paraId="3078F983" w14:textId="77777777" w:rsidR="00183FBA" w:rsidRDefault="00000000">
      <w:pPr>
        <w:spacing w:after="160"/>
        <w:ind w:firstLine="0"/>
        <w:rPr>
          <w:rFonts w:eastAsiaTheme="minorEastAsia"/>
        </w:rPr>
      </w:pPr>
      <w:r>
        <w:rPr>
          <w:noProof/>
        </w:rPr>
        <w:lastRenderedPageBreak/>
        <w:drawing>
          <wp:inline distT="0" distB="0" distL="0" distR="0" wp14:anchorId="07108043" wp14:editId="1F154922">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24"/>
                    <a:stretch>
                      <a:fillRect/>
                    </a:stretch>
                  </pic:blipFill>
                  <pic:spPr bwMode="auto">
                    <a:xfrm>
                      <a:off x="0" y="0"/>
                      <a:ext cx="5939155" cy="6951345"/>
                    </a:xfrm>
                    <a:prstGeom prst="rect">
                      <a:avLst/>
                    </a:prstGeom>
                    <a:noFill/>
                  </pic:spPr>
                </pic:pic>
              </a:graphicData>
            </a:graphic>
          </wp:inline>
        </w:drawing>
      </w:r>
    </w:p>
    <w:p w14:paraId="2C08F227" w14:textId="77777777" w:rsidR="00183FBA" w:rsidRDefault="00000000">
      <w:pPr>
        <w:spacing w:line="240" w:lineRule="auto"/>
        <w:ind w:firstLine="0"/>
        <w:rPr>
          <w:b/>
          <w:bCs/>
          <w:sz w:val="18"/>
          <w:szCs w:val="18"/>
        </w:rPr>
      </w:pPr>
      <w:r>
        <w:rPr>
          <w:rFonts w:hint="eastAsia"/>
          <w:b/>
          <w:bCs/>
          <w:sz w:val="18"/>
          <w:szCs w:val="18"/>
        </w:rPr>
        <w:t>Figure 3 Profiles of signatures extracted in the 89-type classification scheme</w:t>
      </w:r>
    </w:p>
    <w:p w14:paraId="6E3E9AA8" w14:textId="77777777" w:rsidR="00183FBA" w:rsidRDefault="00000000">
      <w:pPr>
        <w:spacing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72C00CB9" w14:textId="77777777" w:rsidR="00183FBA" w:rsidRDefault="00000000">
      <w:pPr>
        <w:spacing w:line="240" w:lineRule="auto"/>
        <w:ind w:firstLine="0"/>
        <w:rPr>
          <w:sz w:val="18"/>
          <w:szCs w:val="18"/>
        </w:rPr>
      </w:pPr>
      <w:r>
        <w:rPr>
          <w:noProof/>
        </w:rPr>
        <w:lastRenderedPageBreak/>
        <w:drawing>
          <wp:inline distT="0" distB="0" distL="0" distR="0" wp14:anchorId="0EA35913" wp14:editId="2B9CD877">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5"/>
                    <a:srcRect b="819"/>
                    <a:stretch>
                      <a:fillRect/>
                    </a:stretch>
                  </pic:blipFill>
                  <pic:spPr bwMode="auto">
                    <a:xfrm>
                      <a:off x="0" y="0"/>
                      <a:ext cx="5709285" cy="7549515"/>
                    </a:xfrm>
                    <a:prstGeom prst="rect">
                      <a:avLst/>
                    </a:prstGeom>
                    <a:noFill/>
                  </pic:spPr>
                </pic:pic>
              </a:graphicData>
            </a:graphic>
          </wp:inline>
        </w:drawing>
      </w:r>
    </w:p>
    <w:p w14:paraId="4CB51269" w14:textId="77777777" w:rsidR="00183FBA" w:rsidRDefault="00000000">
      <w:pPr>
        <w:spacing w:line="240" w:lineRule="auto"/>
        <w:ind w:firstLine="0"/>
        <w:rPr>
          <w:sz w:val="18"/>
          <w:szCs w:val="18"/>
        </w:rPr>
      </w:pPr>
      <w:r>
        <w:rPr>
          <w:rFonts w:eastAsiaTheme="minorEastAsia"/>
          <w:b/>
          <w:bCs/>
          <w:sz w:val="18"/>
          <w:szCs w:val="18"/>
        </w:rPr>
        <w:t xml:space="preserve">Figure </w:t>
      </w:r>
      <w:r>
        <w:rPr>
          <w:rFonts w:eastAsia="Times New Roman"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59903410" w14:textId="77777777" w:rsidR="00183FBA" w:rsidRDefault="00000000">
      <w:pPr>
        <w:spacing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0C2A3590" w14:textId="77777777" w:rsidR="00183FBA" w:rsidRDefault="00000000">
      <w:pPr>
        <w:spacing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4A55906E" w14:textId="77777777" w:rsidR="00183FBA" w:rsidRDefault="00183FBA">
      <w:pPr>
        <w:spacing w:line="240" w:lineRule="auto"/>
        <w:ind w:firstLine="0"/>
        <w:rPr>
          <w:rFonts w:eastAsiaTheme="minorEastAsia"/>
        </w:rPr>
      </w:pPr>
    </w:p>
    <w:p w14:paraId="4F92B1DD" w14:textId="77777777" w:rsidR="00183FBA" w:rsidRDefault="00000000">
      <w:pPr>
        <w:spacing w:line="240" w:lineRule="auto"/>
        <w:ind w:firstLine="0"/>
        <w:rPr>
          <w:rFonts w:eastAsiaTheme="minorEastAsia"/>
        </w:rPr>
      </w:pPr>
      <w:r>
        <w:rPr>
          <w:noProof/>
        </w:rPr>
        <w:drawing>
          <wp:inline distT="0" distB="0" distL="0" distR="0" wp14:anchorId="3B29074D" wp14:editId="3009E60C">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6"/>
                    <a:stretch>
                      <a:fillRect/>
                    </a:stretch>
                  </pic:blipFill>
                  <pic:spPr bwMode="auto">
                    <a:xfrm>
                      <a:off x="0" y="0"/>
                      <a:ext cx="4744720" cy="6173470"/>
                    </a:xfrm>
                    <a:prstGeom prst="rect">
                      <a:avLst/>
                    </a:prstGeom>
                    <a:noFill/>
                  </pic:spPr>
                </pic:pic>
              </a:graphicData>
            </a:graphic>
          </wp:inline>
        </w:drawing>
      </w:r>
    </w:p>
    <w:p w14:paraId="49BE4653" w14:textId="77777777" w:rsidR="00183FBA" w:rsidRDefault="00000000">
      <w:pPr>
        <w:spacing w:line="240" w:lineRule="auto"/>
        <w:ind w:firstLine="0"/>
        <w:rPr>
          <w:rFonts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239CAC3B" w14:textId="77777777" w:rsidR="00183FBA" w:rsidRDefault="00000000">
      <w:pPr>
        <w:spacing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4C881140" w14:textId="77777777" w:rsidR="00183FBA" w:rsidRDefault="00000000">
      <w:pPr>
        <w:spacing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B0A9879" w14:textId="77777777" w:rsidR="00183FBA" w:rsidRDefault="00000000">
      <w:pPr>
        <w:spacing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008813BB" w14:textId="77777777" w:rsidR="00183FBA" w:rsidRDefault="00000000">
      <w:pPr>
        <w:spacing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7F69A221" w14:textId="77777777" w:rsidR="00183FBA" w:rsidRDefault="00000000">
      <w:pPr>
        <w:spacing w:line="240" w:lineRule="auto"/>
        <w:ind w:firstLine="0"/>
      </w:pPr>
      <w:r>
        <w:rPr>
          <w:noProof/>
        </w:rPr>
        <w:lastRenderedPageBreak/>
        <w:drawing>
          <wp:inline distT="0" distB="0" distL="0" distR="0" wp14:anchorId="06CB225F" wp14:editId="39F238FB">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27"/>
                    <a:stretch>
                      <a:fillRect/>
                    </a:stretch>
                  </pic:blipFill>
                  <pic:spPr bwMode="auto">
                    <a:xfrm>
                      <a:off x="0" y="0"/>
                      <a:ext cx="5935345" cy="3818255"/>
                    </a:xfrm>
                    <a:prstGeom prst="rect">
                      <a:avLst/>
                    </a:prstGeom>
                    <a:noFill/>
                  </pic:spPr>
                </pic:pic>
              </a:graphicData>
            </a:graphic>
          </wp:inline>
        </w:drawing>
      </w:r>
    </w:p>
    <w:p w14:paraId="127DCAD9" w14:textId="77777777" w:rsidR="00183FBA" w:rsidRDefault="00000000">
      <w:pPr>
        <w:spacing w:line="240" w:lineRule="auto"/>
        <w:ind w:firstLine="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7EDB9369" w14:textId="77777777" w:rsidR="00183FBA" w:rsidRDefault="00000000">
      <w:pPr>
        <w:spacing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48B32645" w14:textId="77777777" w:rsidR="00183FBA" w:rsidRDefault="00000000">
      <w:pPr>
        <w:spacing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1BCFFA1D" w14:textId="77777777" w:rsidR="00183FBA" w:rsidRDefault="00000000">
      <w:pPr>
        <w:spacing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14BAE43C" w14:textId="77777777" w:rsidR="00183FBA" w:rsidRDefault="00183FBA">
      <w:pPr>
        <w:ind w:firstLine="0"/>
        <w:rPr>
          <w:rFonts w:ascii="Calibri" w:eastAsia="Times New Roman" w:hAnsi="Calibri" w:cs="Noto Sans Arabic UI"/>
          <w:sz w:val="22"/>
          <w:szCs w:val="22"/>
        </w:rPr>
      </w:pPr>
    </w:p>
    <w:sectPr w:rsidR="00183FBA">
      <w:footerReference w:type="even" r:id="rId28"/>
      <w:footerReference w:type="default" r:id="rId29"/>
      <w:footerReference w:type="first" r:id="rId30"/>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o Liu" w:date="2026-08-21T14:53:00Z" w:initials="ML">
    <w:p w14:paraId="65BD66B9" w14:textId="77777777" w:rsidR="00183FBA" w:rsidRDefault="00000000">
      <w:pPr>
        <w:spacing w:line="240" w:lineRule="auto"/>
      </w:pPr>
      <w:r>
        <w:annotationRef/>
      </w:r>
      <w:r>
        <w:rPr>
          <w:rFonts w:ascii="Calibri" w:eastAsia="宋体" w:hAnsi="Calibri" w:cs="Noto Sans Arabic UI"/>
          <w:sz w:val="22"/>
          <w:szCs w:val="22"/>
        </w:rPr>
        <w:t xml:space="preserve">The clock-like association was described in the following paragraph. We can either not mention the clock-like in this part, or bring the age-association part earlier. </w:t>
      </w:r>
    </w:p>
  </w:comment>
  <w:comment w:id="24" w:author="Mo Liu" w:date="2026-05-25T13:45:00Z" w:initials="ML">
    <w:p w14:paraId="01000000" w14:textId="77777777" w:rsidR="00183FBA" w:rsidRDefault="00000000">
      <w:pPr>
        <w:spacing w:line="240" w:lineRule="auto"/>
      </w:pPr>
      <w:r>
        <w:annotationRef/>
      </w:r>
      <w:r>
        <w:rPr>
          <w:rFonts w:ascii="Calibri" w:eastAsia="宋体" w:hAnsi="Calibri" w:cs="Noto Sans Arabic UI"/>
          <w:sz w:val="22"/>
          <w:szCs w:val="22"/>
        </w:rPr>
        <w:t>This is true. But not sure if this worths mentioning?</w:t>
      </w:r>
    </w:p>
  </w:comment>
  <w:comment w:id="25" w:author="Steve Rozen, Ph.D." w:date="2026-05-28T17:52:00Z" w:initials="SR">
    <w:p w14:paraId="02000000" w14:textId="77777777" w:rsidR="00183FBA" w:rsidRDefault="00000000">
      <w:pPr>
        <w:spacing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6" w:author="Mo Liu" w:date="2026-05-29T16:03:00Z" w:initials="ML">
    <w:p w14:paraId="03000000" w14:textId="77777777" w:rsidR="00183FBA" w:rsidRDefault="00000000">
      <w:pPr>
        <w:overflowPunct w:val="0"/>
        <w:spacing w:line="240" w:lineRule="auto"/>
      </w:pPr>
      <w:r>
        <w:annotationRef/>
      </w:r>
      <w:r>
        <w:rPr>
          <w:rFonts w:ascii="Calibri" w:eastAsia="宋体" w:hAnsi="Calibri" w:cs="Noto Sans Arabic UI"/>
          <w:sz w:val="22"/>
          <w:szCs w:val="22"/>
        </w:rPr>
        <w:t>I update via email.</w:t>
      </w:r>
    </w:p>
  </w:comment>
  <w:comment w:id="27" w:author="Unknown Author" w:date="2026-07-02T20:23:00Z" w:initials="">
    <w:p w14:paraId="2E1AB25B" w14:textId="77777777" w:rsidR="00183FBA" w:rsidRDefault="00000000">
      <w:pPr>
        <w:overflowPunct w:val="0"/>
        <w:spacing w:line="240" w:lineRule="auto"/>
      </w:pPr>
      <w:r>
        <w:annotationRef/>
      </w:r>
      <w:r>
        <w:rPr>
          <w:rFonts w:ascii="Calibri" w:eastAsia="宋体" w:hAnsi="Calibri" w:cs="Noto Sans Arabic UI"/>
          <w:i/>
          <w:sz w:val="16"/>
          <w:szCs w:val="22"/>
        </w:rPr>
        <w:t>Reply to Mo Liu (05/29/2026, 16:03): "..."</w:t>
      </w:r>
    </w:p>
    <w:p w14:paraId="51391D28" w14:textId="77777777" w:rsidR="00183FBA" w:rsidRDefault="00000000">
      <w:pPr>
        <w:overflowPunct w:val="0"/>
        <w:spacing w:before="15690" w:line="240" w:lineRule="auto"/>
      </w:pPr>
      <w:r>
        <w:rPr>
          <w:rFonts w:ascii="Calibri" w:eastAsia="宋体" w:hAnsi="Calibri" w:cs="Noto Sans Arabic UI"/>
          <w:sz w:val="20"/>
          <w:szCs w:val="20"/>
        </w:rPr>
        <w:t>Hi Steve,</w:t>
      </w:r>
    </w:p>
    <w:p w14:paraId="1720680B" w14:textId="77777777" w:rsidR="00183FBA" w:rsidRDefault="00183FBA">
      <w:pPr>
        <w:overflowPunct w:val="0"/>
        <w:spacing w:before="15690" w:line="240" w:lineRule="auto"/>
      </w:pPr>
    </w:p>
    <w:p w14:paraId="51441FAC" w14:textId="77777777" w:rsidR="00183FBA" w:rsidRDefault="00000000">
      <w:pPr>
        <w:overflowPunct w:val="0"/>
        <w:spacing w:before="15690" w:line="240" w:lineRule="auto"/>
      </w:pPr>
      <w:r>
        <w:rPr>
          <w:rFonts w:ascii="Calibri" w:eastAsia="宋体" w:hAnsi="Calibri" w:cs="Noto Sans Arabic UI"/>
          <w:sz w:val="20"/>
          <w:szCs w:val="20"/>
        </w:rPr>
        <w:t>I summarized the topographical annotations available on the COSMIC website.</w:t>
      </w:r>
    </w:p>
    <w:p w14:paraId="3D7FF3BC" w14:textId="77777777" w:rsidR="00183FBA" w:rsidRDefault="00183FBA">
      <w:pPr>
        <w:overflowPunct w:val="0"/>
        <w:spacing w:before="15690" w:line="240" w:lineRule="auto"/>
      </w:pPr>
    </w:p>
    <w:p w14:paraId="70B63C80" w14:textId="77777777" w:rsidR="00183FBA" w:rsidRDefault="00000000">
      <w:pPr>
        <w:overflowPunct w:val="0"/>
        <w:spacing w:before="15690"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1A3BE61A" w14:textId="77777777" w:rsidR="00183FBA" w:rsidRDefault="00183FBA">
      <w:pPr>
        <w:overflowPunct w:val="0"/>
        <w:spacing w:before="15690" w:line="240" w:lineRule="auto"/>
      </w:pPr>
    </w:p>
    <w:p w14:paraId="06F720A2" w14:textId="77777777" w:rsidR="00183FBA" w:rsidRDefault="00000000">
      <w:pPr>
        <w:overflowPunct w:val="0"/>
        <w:spacing w:before="15690"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51AB8845" w14:textId="77777777" w:rsidR="00183FBA" w:rsidRDefault="00183FBA">
      <w:pPr>
        <w:overflowPunct w:val="0"/>
        <w:spacing w:before="15690" w:line="240" w:lineRule="auto"/>
      </w:pPr>
    </w:p>
    <w:p w14:paraId="3C97995B" w14:textId="77777777" w:rsidR="00183FBA" w:rsidRDefault="00000000">
      <w:pPr>
        <w:overflowPunct w:val="0"/>
        <w:spacing w:before="15690" w:line="240" w:lineRule="auto"/>
      </w:pPr>
      <w:r>
        <w:rPr>
          <w:rFonts w:ascii="Calibri" w:eastAsia="宋体" w:hAnsi="Calibri" w:cs="Noto Sans Arabic UI"/>
          <w:sz w:val="20"/>
          <w:szCs w:val="20"/>
        </w:rPr>
        <w:t>I’ve summarized the information in the attached file.</w:t>
      </w:r>
    </w:p>
    <w:p w14:paraId="1EE30D2E" w14:textId="77777777" w:rsidR="00183FBA" w:rsidRDefault="00000000">
      <w:pPr>
        <w:overflowPunct w:val="0"/>
        <w:spacing w:before="15690" w:line="240" w:lineRule="auto"/>
      </w:pPr>
      <w:r>
        <w:rPr>
          <w:rFonts w:ascii="Calibri" w:eastAsia="宋体" w:hAnsi="Calibri" w:cs="Noto Sans Arabic UI"/>
          <w:sz w:val="20"/>
          <w:szCs w:val="20"/>
        </w:rPr>
        <w:t>Please let me know if you need more information.</w:t>
      </w:r>
    </w:p>
    <w:p w14:paraId="077D5E61" w14:textId="77777777" w:rsidR="00183FBA" w:rsidRDefault="00000000">
      <w:pPr>
        <w:overflowPunct w:val="0"/>
        <w:spacing w:before="15690" w:line="240" w:lineRule="auto"/>
      </w:pPr>
      <w:r>
        <w:rPr>
          <w:rFonts w:ascii="Calibri" w:eastAsia="宋体" w:hAnsi="Calibri" w:cs="Noto Sans Arabic UI"/>
          <w:sz w:val="20"/>
          <w:szCs w:val="20"/>
        </w:rPr>
        <w:t>Thanks,Mo</w:t>
      </w:r>
    </w:p>
    <w:p w14:paraId="6F9A5958" w14:textId="77777777" w:rsidR="00183FBA" w:rsidRDefault="00183FBA">
      <w:pPr>
        <w:overflowPunct w:val="0"/>
        <w:spacing w:before="15690" w:line="240" w:lineRule="auto"/>
      </w:pPr>
    </w:p>
    <w:p w14:paraId="0F628852" w14:textId="77777777" w:rsidR="00183FBA" w:rsidRDefault="00183FBA">
      <w:pPr>
        <w:overflowPunct w:val="0"/>
        <w:spacing w:before="15690" w:line="240" w:lineRule="auto"/>
      </w:pPr>
    </w:p>
    <w:p w14:paraId="5214754C" w14:textId="77777777" w:rsidR="00183FBA" w:rsidRDefault="00183FBA">
      <w:pPr>
        <w:overflowPunct w:val="0"/>
        <w:spacing w:before="15690" w:line="240" w:lineRule="auto"/>
      </w:pPr>
    </w:p>
    <w:p w14:paraId="75E4D7B2" w14:textId="77777777" w:rsidR="00183FBA" w:rsidRDefault="00183FBA">
      <w:pPr>
        <w:overflowPunct w:val="0"/>
        <w:spacing w:before="15690" w:line="240" w:lineRule="auto"/>
      </w:pPr>
    </w:p>
    <w:p w14:paraId="6733C7DD" w14:textId="77777777" w:rsidR="00183FBA" w:rsidRDefault="00183FBA">
      <w:pPr>
        <w:overflowPunct w:val="0"/>
        <w:spacing w:before="15690" w:line="240" w:lineRule="auto"/>
      </w:pPr>
    </w:p>
    <w:p w14:paraId="48876165" w14:textId="77777777" w:rsidR="00183FBA" w:rsidRDefault="00183FBA">
      <w:pPr>
        <w:overflowPunct w:val="0"/>
        <w:spacing w:before="15690" w:line="240" w:lineRule="auto"/>
      </w:pPr>
    </w:p>
    <w:p w14:paraId="0CB0400D" w14:textId="77777777" w:rsidR="00183FBA" w:rsidRDefault="00000000">
      <w:pPr>
        <w:overflowPunct w:val="0"/>
        <w:spacing w:before="15690" w:line="240" w:lineRule="auto"/>
      </w:pPr>
      <w:r>
        <w:rPr>
          <w:rFonts w:ascii="Calibri" w:eastAsia="宋体" w:hAnsi="Calibri" w:cs="Noto Sans Arabic UI"/>
          <w:sz w:val="20"/>
          <w:szCs w:val="20"/>
        </w:rPr>
        <w:t>See COSMICv3.6 ID topographical annotation.xlsx</w:t>
      </w:r>
    </w:p>
    <w:p w14:paraId="6095FCD3" w14:textId="77777777" w:rsidR="00183FBA" w:rsidRDefault="00183FBA">
      <w:pPr>
        <w:overflowPunct w:val="0"/>
        <w:spacing w:before="15690" w:line="240" w:lineRule="auto"/>
      </w:pPr>
    </w:p>
    <w:p w14:paraId="75111D24" w14:textId="77777777" w:rsidR="00183FBA" w:rsidRDefault="00183FBA">
      <w:pPr>
        <w:overflowPunct w:val="0"/>
        <w:spacing w:before="15690" w:line="240" w:lineRule="auto"/>
      </w:pPr>
    </w:p>
    <w:p w14:paraId="2C97DCE6" w14:textId="77777777" w:rsidR="00183FBA" w:rsidRDefault="00183FBA">
      <w:pPr>
        <w:overflowPunct w:val="0"/>
        <w:spacing w:before="15690" w:line="240" w:lineRule="auto"/>
      </w:pPr>
    </w:p>
    <w:p w14:paraId="59022FE8" w14:textId="77777777" w:rsidR="00183FBA" w:rsidRDefault="00183FBA">
      <w:pPr>
        <w:overflowPunct w:val="0"/>
        <w:spacing w:before="15690" w:line="240" w:lineRule="auto"/>
      </w:pPr>
    </w:p>
    <w:p w14:paraId="43F4B4A4" w14:textId="77777777" w:rsidR="00183FBA" w:rsidRDefault="00183FBA">
      <w:pPr>
        <w:overflowPunct w:val="0"/>
        <w:spacing w:before="15690" w:line="240" w:lineRule="auto"/>
      </w:pPr>
    </w:p>
    <w:p w14:paraId="1DC2DDDC" w14:textId="77777777" w:rsidR="00183FBA" w:rsidRDefault="00183FBA">
      <w:pPr>
        <w:overflowPunct w:val="0"/>
        <w:spacing w:before="15690" w:line="240" w:lineRule="auto"/>
      </w:pPr>
    </w:p>
    <w:p w14:paraId="57C5F213" w14:textId="77777777" w:rsidR="00183FBA" w:rsidRDefault="00183FBA">
      <w:pPr>
        <w:overflowPunct w:val="0"/>
        <w:spacing w:before="15690" w:line="240" w:lineRule="auto"/>
      </w:pPr>
    </w:p>
    <w:p w14:paraId="5FE4A2BC" w14:textId="77777777" w:rsidR="00183FBA" w:rsidRDefault="00183FBA">
      <w:pPr>
        <w:overflowPunct w:val="0"/>
        <w:spacing w:before="15690" w:line="240" w:lineRule="auto"/>
      </w:pPr>
    </w:p>
    <w:p w14:paraId="6143EC59" w14:textId="77777777" w:rsidR="00183FBA" w:rsidRDefault="00183FBA">
      <w:pPr>
        <w:overflowPunct w:val="0"/>
        <w:spacing w:before="15690" w:line="240" w:lineRule="auto"/>
      </w:pPr>
    </w:p>
    <w:p w14:paraId="05CEFB4F" w14:textId="77777777" w:rsidR="00183FBA" w:rsidRDefault="00183FBA">
      <w:pPr>
        <w:overflowPunct w:val="0"/>
        <w:spacing w:before="15690" w:line="240" w:lineRule="auto"/>
      </w:pPr>
    </w:p>
    <w:p w14:paraId="708BCB88" w14:textId="77777777" w:rsidR="00183FBA" w:rsidRDefault="00183FBA">
      <w:pPr>
        <w:overflowPunct w:val="0"/>
        <w:spacing w:before="15690" w:line="240" w:lineRule="auto"/>
      </w:pPr>
    </w:p>
    <w:p w14:paraId="3E0C0556" w14:textId="77777777" w:rsidR="00183FBA" w:rsidRDefault="00183FBA">
      <w:pPr>
        <w:overflowPunct w:val="0"/>
        <w:spacing w:before="15690" w:line="240" w:lineRule="auto"/>
      </w:pPr>
    </w:p>
    <w:p w14:paraId="6E35817E" w14:textId="77777777" w:rsidR="00183FBA" w:rsidRDefault="00183FBA">
      <w:pPr>
        <w:overflowPunct w:val="0"/>
        <w:spacing w:before="15690" w:line="240" w:lineRule="auto"/>
      </w:pPr>
    </w:p>
    <w:p w14:paraId="15B5A308" w14:textId="77777777" w:rsidR="00183FBA" w:rsidRDefault="00183FBA">
      <w:pPr>
        <w:overflowPunct w:val="0"/>
        <w:spacing w:before="15690" w:line="240" w:lineRule="auto"/>
      </w:pPr>
    </w:p>
    <w:p w14:paraId="743C1EE1" w14:textId="77777777" w:rsidR="00183FBA" w:rsidRDefault="00183FBA">
      <w:pPr>
        <w:overflowPunct w:val="0"/>
        <w:spacing w:before="15690" w:line="240" w:lineRule="auto"/>
      </w:pPr>
    </w:p>
    <w:p w14:paraId="417987B0" w14:textId="77777777" w:rsidR="00183FBA" w:rsidRDefault="00183FBA">
      <w:pPr>
        <w:overflowPunct w:val="0"/>
        <w:spacing w:before="15690" w:line="240" w:lineRule="auto"/>
      </w:pPr>
    </w:p>
    <w:p w14:paraId="6E573EC8" w14:textId="77777777" w:rsidR="00183FBA" w:rsidRDefault="00183FBA">
      <w:pPr>
        <w:overflowPunct w:val="0"/>
        <w:spacing w:before="15690" w:line="240" w:lineRule="auto"/>
      </w:pPr>
    </w:p>
    <w:p w14:paraId="24106250" w14:textId="77777777" w:rsidR="00183FBA" w:rsidRDefault="00183FBA">
      <w:pPr>
        <w:overflowPunct w:val="0"/>
        <w:spacing w:before="15690" w:line="240" w:lineRule="auto"/>
      </w:pPr>
    </w:p>
    <w:p w14:paraId="23986105" w14:textId="77777777" w:rsidR="00183FBA" w:rsidRDefault="00183FBA">
      <w:pPr>
        <w:overflowPunct w:val="0"/>
        <w:spacing w:before="15690" w:line="240" w:lineRule="auto"/>
      </w:pPr>
    </w:p>
    <w:p w14:paraId="27CEBB02" w14:textId="77777777" w:rsidR="00183FBA" w:rsidRDefault="00183FBA">
      <w:pPr>
        <w:overflowPunct w:val="0"/>
        <w:spacing w:before="15690" w:line="240" w:lineRule="auto"/>
      </w:pPr>
    </w:p>
    <w:p w14:paraId="40E90C6D" w14:textId="77777777" w:rsidR="00183FBA" w:rsidRDefault="00183FBA">
      <w:pPr>
        <w:overflowPunct w:val="0"/>
        <w:spacing w:before="15690" w:line="240" w:lineRule="auto"/>
      </w:pPr>
    </w:p>
    <w:p w14:paraId="478E7D20" w14:textId="77777777" w:rsidR="00183FBA" w:rsidRDefault="00183FBA">
      <w:pPr>
        <w:overflowPunct w:val="0"/>
        <w:spacing w:before="15690" w:line="240" w:lineRule="auto"/>
      </w:pPr>
    </w:p>
    <w:p w14:paraId="40631210" w14:textId="77777777" w:rsidR="00183FBA" w:rsidRDefault="00183FBA">
      <w:pPr>
        <w:overflowPunct w:val="0"/>
        <w:spacing w:before="15690" w:line="240" w:lineRule="auto"/>
      </w:pPr>
    </w:p>
    <w:p w14:paraId="33B8B6B2" w14:textId="77777777" w:rsidR="00183FBA" w:rsidRDefault="00183FBA">
      <w:pPr>
        <w:overflowPunct w:val="0"/>
        <w:spacing w:before="15690" w:line="240" w:lineRule="auto"/>
      </w:pPr>
    </w:p>
    <w:p w14:paraId="50459E0F" w14:textId="77777777" w:rsidR="00183FBA" w:rsidRDefault="00183FBA">
      <w:pPr>
        <w:overflowPunct w:val="0"/>
        <w:spacing w:before="15690" w:line="240" w:lineRule="auto"/>
      </w:pPr>
    </w:p>
    <w:p w14:paraId="04000000" w14:textId="77777777" w:rsidR="00183FBA" w:rsidRDefault="00183FBA">
      <w:pPr>
        <w:overflowPunct w:val="0"/>
        <w:spacing w:before="15690" w:line="240" w:lineRule="auto"/>
      </w:pPr>
    </w:p>
  </w:comment>
  <w:comment w:id="28" w:author="Mo Liu" w:date="2026-09-06T22:02:00Z" w:initials="ML">
    <w:p w14:paraId="19CD85A9" w14:textId="77777777" w:rsidR="00183FBA" w:rsidRDefault="00000000">
      <w:pPr>
        <w:spacing w:line="240" w:lineRule="auto"/>
      </w:pPr>
      <w:r>
        <w:annotationRef/>
      </w:r>
      <w:r>
        <w:rPr>
          <w:rFonts w:ascii="Calibri" w:eastAsia="宋体" w:hAnsi="Calibri" w:cs="Noto Sans Arabic UI"/>
          <w:sz w:val="22"/>
          <w:szCs w:val="22"/>
        </w:rPr>
        <w:t>New paragraph added by Mo to discuss the potential caller batch effects</w:t>
      </w:r>
    </w:p>
  </w:comment>
  <w:comment w:id="29" w:author="Mo Liu" w:date="2026-09-25T22:08:00Z" w:initials="ML">
    <w:p w14:paraId="3596A37E" w14:textId="77777777" w:rsidR="00E54C5B" w:rsidRDefault="008C56BD" w:rsidP="00E54C5B">
      <w:pPr>
        <w:pStyle w:val="CommentText"/>
        <w:ind w:firstLine="0"/>
      </w:pPr>
      <w:r>
        <w:rPr>
          <w:rStyle w:val="CommentReference"/>
        </w:rPr>
        <w:annotationRef/>
      </w:r>
      <w:r w:rsidR="00E54C5B">
        <w:t xml:space="preserve">Clinical traits such as cancer type, age and gender of the Hartwig genomes were found from supplementary tables of Priestley et al., 2019 and </w:t>
      </w:r>
      <w:r w:rsidR="00E54C5B">
        <w:rPr>
          <w:color w:val="222222"/>
          <w:highlight w:val="white"/>
        </w:rPr>
        <w:t>Martínez-Jiménez et al., 2023. The final metadata was also provided in Table S18 of this paper</w:t>
      </w:r>
    </w:p>
  </w:comment>
  <w:comment w:id="30" w:author="Mo Liu" w:date="2026-09-25T22:09:00Z" w:initials="ML">
    <w:p w14:paraId="6C84CAC2" w14:textId="665A4240" w:rsidR="008C56BD" w:rsidRDefault="008C56BD" w:rsidP="008C56BD">
      <w:pPr>
        <w:pStyle w:val="CommentText"/>
        <w:ind w:firstLine="0"/>
      </w:pPr>
      <w:r>
        <w:rPr>
          <w:rStyle w:val="CommentReference"/>
        </w:rPr>
        <w:annotationRef/>
      </w:r>
      <w:r>
        <w:t xml:space="preserve">To Steve, Please add a citation: </w:t>
      </w:r>
      <w:r>
        <w:rPr>
          <w:color w:val="222222"/>
          <w:highlight w:val="white"/>
        </w:rPr>
        <w:t xml:space="preserve">Martínez-Jiménez, F., Movasati, A., Brunner, S.R. </w:t>
      </w:r>
      <w:r>
        <w:rPr>
          <w:i/>
          <w:iCs/>
          <w:color w:val="222222"/>
          <w:highlight w:val="white"/>
        </w:rPr>
        <w:t>et al.</w:t>
      </w:r>
      <w:r>
        <w:rPr>
          <w:color w:val="222222"/>
          <w:highlight w:val="white"/>
        </w:rPr>
        <w:t xml:space="preserve"> Pan-cancer whole-genome comparison of primary and metastatic solid tumours. </w:t>
      </w:r>
      <w:r>
        <w:rPr>
          <w:i/>
          <w:iCs/>
          <w:color w:val="222222"/>
          <w:highlight w:val="white"/>
        </w:rPr>
        <w:t>Nature</w:t>
      </w:r>
      <w:r>
        <w:rPr>
          <w:color w:val="222222"/>
          <w:highlight w:val="white"/>
        </w:rPr>
        <w:t xml:space="preserve"> </w:t>
      </w:r>
      <w:r>
        <w:rPr>
          <w:b/>
          <w:bCs/>
          <w:color w:val="222222"/>
          <w:highlight w:val="white"/>
        </w:rPr>
        <w:t>618</w:t>
      </w:r>
      <w:r>
        <w:rPr>
          <w:color w:val="222222"/>
          <w:highlight w:val="white"/>
        </w:rPr>
        <w:t>, 333–341 (2023). https://doi.org/10.1038/s41586-023-06054-z</w:t>
      </w:r>
      <w:r>
        <w:t xml:space="preserve"> </w:t>
      </w:r>
    </w:p>
    <w:p w14:paraId="3D637847" w14:textId="77777777" w:rsidR="008C56BD" w:rsidRDefault="008C56BD" w:rsidP="008C56BD">
      <w:pPr>
        <w:pStyle w:val="CommentText"/>
        <w:ind w:firstLine="0"/>
      </w:pPr>
    </w:p>
    <w:p w14:paraId="59D58AB7" w14:textId="77777777" w:rsidR="008C56BD" w:rsidRDefault="008C56BD" w:rsidP="008C56BD">
      <w:pPr>
        <w:pStyle w:val="CommentText"/>
        <w:ind w:firstLine="0"/>
      </w:pPr>
      <w:r>
        <w:t>. I noticed that I used two tables from two Hartwig paper for the clinical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D66B9" w15:done="0"/>
  <w15:commentEx w15:paraId="01000000" w15:done="0"/>
  <w15:commentEx w15:paraId="02000000" w15:paraIdParent="01000000" w15:done="0"/>
  <w15:commentEx w15:paraId="03000000" w15:paraIdParent="01000000" w15:done="0"/>
  <w15:commentEx w15:paraId="04000000" w15:paraIdParent="01000000" w15:done="0"/>
  <w15:commentEx w15:paraId="19CD85A9" w15:done="0"/>
  <w15:commentEx w15:paraId="3596A37E" w15:done="0"/>
  <w15:commentEx w15:paraId="59D58AB7" w15:paraIdParent="3596A3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ADE7C7" w16cex:dateUtc="2026-09-25T14:08:00Z"/>
  <w16cex:commentExtensible w16cex:durableId="56BC0062" w16cex:dateUtc="2026-09-25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D66B9" w16cid:durableId="65BD66B9"/>
  <w16cid:commentId w16cid:paraId="01000000" w16cid:durableId="01000000"/>
  <w16cid:commentId w16cid:paraId="02000000" w16cid:durableId="02000000"/>
  <w16cid:commentId w16cid:paraId="03000000" w16cid:durableId="03000000"/>
  <w16cid:commentId w16cid:paraId="04000000" w16cid:durableId="04000000"/>
  <w16cid:commentId w16cid:paraId="19CD85A9" w16cid:durableId="19CD85A9"/>
  <w16cid:commentId w16cid:paraId="3596A37E" w16cid:durableId="44ADE7C7"/>
  <w16cid:commentId w16cid:paraId="59D58AB7" w16cid:durableId="56BC0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F20A" w14:textId="77777777" w:rsidR="00E101F5" w:rsidRDefault="00E101F5">
      <w:pPr>
        <w:spacing w:line="240" w:lineRule="auto"/>
      </w:pPr>
      <w:r>
        <w:separator/>
      </w:r>
    </w:p>
  </w:endnote>
  <w:endnote w:type="continuationSeparator" w:id="0">
    <w:p w14:paraId="7DB865B7" w14:textId="77777777" w:rsidR="00E101F5" w:rsidRDefault="00E101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89A9" w14:textId="77777777" w:rsidR="00183FBA" w:rsidRDefault="00183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7503" w14:textId="77777777" w:rsidR="00183FBA" w:rsidRDefault="00000000">
    <w:pPr>
      <w:pStyle w:val="Footer"/>
      <w:jc w:val="right"/>
    </w:pPr>
    <w:r>
      <w:t xml:space="preserve">Page </w:t>
    </w:r>
  </w:p>
  <w:p w14:paraId="2CBFEF59" w14:textId="77777777" w:rsidR="00183FBA" w:rsidRDefault="00183FB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6DF9" w14:textId="77777777" w:rsidR="00183FBA" w:rsidRDefault="00000000">
    <w:pPr>
      <w:pStyle w:val="Footer"/>
      <w:jc w:val="right"/>
    </w:pPr>
    <w:r>
      <w:t xml:space="preserve">Page </w:t>
    </w:r>
  </w:p>
  <w:p w14:paraId="30EBEBAF" w14:textId="77777777" w:rsidR="00183FBA" w:rsidRDefault="00183F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DBCB" w14:textId="77777777" w:rsidR="00E101F5" w:rsidRDefault="00E101F5">
      <w:pPr>
        <w:spacing w:line="240" w:lineRule="auto"/>
      </w:pPr>
      <w:r>
        <w:separator/>
      </w:r>
    </w:p>
  </w:footnote>
  <w:footnote w:type="continuationSeparator" w:id="0">
    <w:p w14:paraId="4E603988" w14:textId="77777777" w:rsidR="00E101F5" w:rsidRDefault="00E101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E0A"/>
    <w:multiLevelType w:val="multilevel"/>
    <w:tmpl w:val="42CAC0C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331A25DB"/>
    <w:multiLevelType w:val="multilevel"/>
    <w:tmpl w:val="EB4EB6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8A7972"/>
    <w:multiLevelType w:val="multilevel"/>
    <w:tmpl w:val="D10E98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7913192">
    <w:abstractNumId w:val="2"/>
  </w:num>
  <w:num w:numId="2" w16cid:durableId="1175728283">
    <w:abstractNumId w:val="0"/>
  </w:num>
  <w:num w:numId="3" w16cid:durableId="20613195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BA"/>
    <w:rsid w:val="00183FBA"/>
    <w:rsid w:val="0067362E"/>
    <w:rsid w:val="008C56BD"/>
    <w:rsid w:val="00E101F5"/>
    <w:rsid w:val="00E54C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5:docId w15:val="{5F4F3EC3-5DAB-414D-B2B6-EB859712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016/j.celrep.2023.11293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synapse.org/"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bmcbioinformatics.biomedcentral.com/articles/10.1186/s12859-020-03772-3" TargetMode="Externa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hgdownload.cse.ucsc.edu/goldenPath/hg19/encodeDCC/wgEncodeUwRepliSeq/"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teverozen@pm.me" TargetMode="External"/><Relationship Id="rId14" Type="http://schemas.openxmlformats.org/officeDocument/2006/relationships/hyperlink" Target="https://dcc.icgc.org/releases/current/Projects/"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3.xml"/><Relationship Id="rId8" Type="http://schemas.openxmlformats.org/officeDocument/2006/relationships/hyperlink" Target="mailto:mo.liu@gzhmu.edu.cn"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40</Pages>
  <Words>12534</Words>
  <Characters>71446</Characters>
  <Application>Microsoft Office Word</Application>
  <DocSecurity>0</DocSecurity>
  <Lines>595</Lines>
  <Paragraphs>167</Paragraphs>
  <ScaleCrop>false</ScaleCrop>
  <Company/>
  <LinksUpToDate>false</LinksUpToDate>
  <CharactersWithSpaces>83813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2026-09-25T14:09:00Z</dcterms:created>
  <dcterms:modified xsi:type="dcterms:W3CDTF">2026-09-25T14:10:00Z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