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New repertoire of indel mutation</w:t>
      </w:r>
      <w:r>
        <w:rPr>
          <w:rFonts w:hint="eastAsia"/>
        </w:rPr>
        <w:t>al</w:t>
      </w:r>
      <w:r>
        <w:rPr/>
        <w:t xml:space="preserve"> </w:t>
      </w:r>
      <w:r>
        <w:rPr>
          <w:rFonts w:hint="eastAsia"/>
        </w:rPr>
        <w:t>signatures</w:t>
      </w:r>
      <w:r>
        <w:rPr/>
        <w:t xml:space="preserve"> </w:t>
      </w:r>
      <w:r>
        <w:rPr>
          <w:rFonts w:hint="eastAsia"/>
        </w:rPr>
        <w:t>in 6,975 tumors, including 28 novel signatures</w:t>
      </w:r>
    </w:p>
    <w:p>
      <w:pPr>
        <w:pStyle w:val="authorsandaff"/>
        <w:spacing w:before="0" w:after="240"/>
        <w:rPr/>
      </w:pPr>
      <w:r>
        <w:rPr>
          <w:b/>
          <w:bCs/>
        </w:rPr>
        <w:t xml:space="preserve">Steven </w:t>
      </w:r>
      <w:r>
        <w:rPr>
          <w:b/>
          <w:bCs/>
        </w:rPr>
        <w:t xml:space="preserve">G. </w:t>
      </w:r>
      <w:r>
        <w:rPr>
          <w:b/>
          <w:bCs/>
        </w:rPr>
        <w:t>Rozen</w:t>
      </w:r>
      <w:r>
        <w:rPr>
          <w:vertAlign w:val="superscript"/>
        </w:rPr>
        <w:t>1,2,3,4</w:t>
      </w:r>
      <w:r>
        <w:rPr/>
        <w:t xml:space="preserve"> Mo Liu</w:t>
      </w:r>
      <w:r>
        <w:rPr>
          <w:vertAlign w:val="superscript"/>
        </w:rPr>
        <w:t>3,4,5</w:t>
      </w:r>
      <w:r>
        <w:rPr>
          <w:rFonts w:hint="eastAsia"/>
        </w:rPr>
        <w:t>, Mi Mi Huang</w:t>
      </w:r>
      <w:r>
        <w:rPr>
          <w:rFonts w:hint="eastAsia"/>
          <w:vertAlign w:val="superscript"/>
        </w:rPr>
        <w:t>6</w:t>
      </w:r>
      <w:r>
        <w:rPr>
          <w:rFonts w:hint="eastAsia"/>
        </w:rPr>
        <w:t>,</w:t>
      </w:r>
      <w:r>
        <w:rPr>
          <w:rFonts w:eastAsia="宋体" w:hint="eastAsia"/>
        </w:rPr>
        <w:t xml:space="preserve"> Xue Ming Wu</w:t>
      </w:r>
      <w:r>
        <w:rPr>
          <w:rFonts w:eastAsia="宋体" w:hint="eastAsia"/>
          <w:vertAlign w:val="superscript"/>
        </w:rPr>
        <w:t>5</w:t>
      </w:r>
      <w:r>
        <w:rPr>
          <w:rFonts w:eastAsia="宋体" w:hint="eastAsia"/>
        </w:rPr>
        <w:t>,</w:t>
      </w:r>
      <w:r>
        <w:rPr/>
        <w:t xml:space="preserve"> Qi Zheng</w:t>
      </w:r>
      <w:r>
        <w:rPr>
          <w:rFonts w:eastAsia="宋体" w:hint="eastAsia"/>
          <w:vertAlign w:val="superscript"/>
        </w:rPr>
        <w:t>5</w:t>
      </w:r>
      <w:r>
        <w:rPr/>
        <w:t>,</w:t>
      </w:r>
      <w:r>
        <w:rPr>
          <w:rFonts w:hint="eastAsia"/>
        </w:rPr>
        <w:t xml:space="preserve"> Arnoud Boot</w:t>
      </w:r>
      <w:r>
        <w:rPr>
          <w:rFonts w:hint="eastAsia"/>
          <w:vertAlign w:val="superscript"/>
        </w:rPr>
        <w:t>2,3</w:t>
      </w:r>
      <w:r>
        <w:rPr>
          <w:rFonts w:hint="eastAsia"/>
        </w:rPr>
        <w:t>, Shenli Zhang</w:t>
      </w:r>
      <w:r>
        <w:rPr>
          <w:rFonts w:hint="eastAsia"/>
          <w:vertAlign w:val="superscript"/>
        </w:rPr>
        <w:t>2,3</w:t>
      </w:r>
      <w:r>
        <w:rPr>
          <w:rFonts w:hint="eastAsia"/>
        </w:rPr>
        <w:t>, Szu-Chi Ho</w:t>
      </w:r>
      <w:r>
        <w:rPr>
          <w:rFonts w:hint="eastAsia"/>
          <w:vertAlign w:val="superscript"/>
        </w:rPr>
        <w:t>2,3</w:t>
      </w:r>
      <w:r>
        <w:rPr>
          <w:rFonts w:hint="eastAsia"/>
        </w:rPr>
        <w:t xml:space="preserve">, </w:t>
      </w:r>
      <w:r>
        <w:rPr/>
        <w:t>Runtian Yao</w:t>
      </w:r>
      <w:r>
        <w:rPr>
          <w:rFonts w:hint="eastAsia"/>
          <w:vertAlign w:val="superscript"/>
        </w:rPr>
        <w:t>6</w:t>
      </w:r>
      <w:r>
        <w:rPr/>
        <w:t xml:space="preserve">, </w:t>
      </w:r>
      <w:r>
        <w:rPr>
          <w:rFonts w:hint="eastAsia"/>
        </w:rPr>
        <w:t>Ying Yang</w:t>
      </w:r>
      <w:r>
        <w:rPr>
          <w:rFonts w:hint="eastAsia"/>
          <w:vertAlign w:val="superscript"/>
        </w:rPr>
        <w:t>5</w:t>
      </w:r>
      <w:r>
        <w:rPr>
          <w:rFonts w:hint="eastAsia"/>
        </w:rPr>
        <w:t>, Runxi Shen</w:t>
      </w:r>
      <w:r>
        <w:rPr>
          <w:rFonts w:hint="eastAsia"/>
          <w:vertAlign w:val="superscript"/>
        </w:rPr>
        <w:t>7</w:t>
      </w:r>
    </w:p>
    <w:p>
      <w:pPr>
        <w:pStyle w:val="authorsandaff"/>
        <w:rPr/>
      </w:pPr>
      <w:r>
        <w:rPr>
          <w:rFonts w:hint="eastAsia"/>
        </w:rPr>
        <w:t>1</w:t>
      </w:r>
      <w:r>
        <w:rPr/>
        <w:t xml:space="preserve"> Duke University, Department of Biostatistics and Bioinformatics, Durham, North Carolina, United States</w:t>
      </w:r>
    </w:p>
    <w:p>
      <w:pPr>
        <w:pStyle w:val="authorsandaff"/>
        <w:rPr/>
      </w:pPr>
      <w:r>
        <w:rPr/>
        <w:t xml:space="preserve">2 Chang Gung University, Graduate Institute of Biomedical Sciences,  Taoyuan City, Taiwan </w:t>
      </w:r>
    </w:p>
    <w:p>
      <w:pPr>
        <w:pStyle w:val="authorsandaff"/>
        <w:rPr/>
      </w:pPr>
      <w:r>
        <w:rPr>
          <w:rFonts w:hint="eastAsia"/>
        </w:rPr>
        <w:t>3</w:t>
      </w:r>
      <w:r>
        <w:rPr/>
        <w:t xml:space="preserve"> Duke–NUS Medical School, Centre for Computational Biology, Singapore</w:t>
      </w:r>
    </w:p>
    <w:p>
      <w:pPr>
        <w:pStyle w:val="authorsandaff"/>
        <w:rPr/>
      </w:pPr>
      <w:r>
        <w:rPr>
          <w:rFonts w:hint="eastAsia"/>
        </w:rPr>
        <w:t>4</w:t>
      </w:r>
      <w:r>
        <w:rPr/>
        <w:t xml:space="preserve"> Duke–NUS Medical School, Programme in Cancer and Stem Cell Biology,  Singapore  </w:t>
      </w:r>
    </w:p>
    <w:p>
      <w:pPr>
        <w:pStyle w:val="authorsandaff"/>
        <w:rPr/>
      </w:pPr>
      <w:r>
        <w:rPr/>
        <w:t>5 Guangzhou Medical University, Sino-French Hoffmann Institute, Guangzhou, Guangdong, China</w:t>
      </w:r>
    </w:p>
    <w:p>
      <w:pPr>
        <w:pStyle w:val="authorsandaff"/>
        <w:rPr/>
      </w:pPr>
      <w:r>
        <w:rPr>
          <w:rFonts w:hint="eastAsia"/>
        </w:rPr>
        <w:t>6 Sun Yat-Sen University, School of Medicine</w:t>
      </w:r>
      <w:r>
        <w:rPr/>
        <w:t>, Shenzhen, Guangdong, China</w:t>
      </w:r>
    </w:p>
    <w:p>
      <w:pPr>
        <w:pStyle w:val="authorsandaff"/>
        <w:rPr/>
      </w:pPr>
      <w:r>
        <w:rPr>
          <w:rFonts w:hint="eastAsia"/>
        </w:rPr>
        <w:t xml:space="preserve">7 </w:t>
      </w:r>
      <w:r>
        <w:rPr/>
        <w:t>Broad Institute of Harvard and MIT, Imaging Platform, Cambridge, Massachusetts, United States</w:t>
      </w:r>
    </w:p>
    <w:p>
      <w:pPr>
        <w:pStyle w:val="authorsandaff"/>
        <w:rPr/>
      </w:pPr>
      <w:r>
        <w:rPr/>
      </w:r>
    </w:p>
    <w:p>
      <w:pPr>
        <w:pStyle w:val="normalfirst"/>
        <w:rPr/>
      </w:pPr>
      <w:r>
        <w:rPr/>
        <w:t>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while small insertions and deletions (“indels”) have been under-studied. Koh, Nanda, and colleagues</w:t>
      </w:r>
      <w:r>
        <w:rPr>
          <w:vertAlign w:val="superscript"/>
        </w:rPr>
        <w:t>1</w:t>
      </w:r>
      <w:r>
        <w:rPr/>
        <w:t xml:space="preserve"> recently published a new classification of indels into 89 mutation types, a classification that enables finer distinctions between signatures. </w:t>
      </w:r>
    </w:p>
    <w:p>
      <w:pPr>
        <w:pStyle w:val="normalfirst"/>
        <w:rPr/>
      </w:pPr>
      <w:r>
        <w:rPr/>
      </w:r>
    </w:p>
    <w:p>
      <w:pPr>
        <w:pStyle w:val="normalfirst"/>
        <w:rPr/>
      </w:pPr>
      <w:r>
        <w:rPr/>
        <w:t>Here, we analyzed somatic indels in 6,975 whole ge</w:t>
      </w:r>
      <w:r>
        <w:rPr>
          <w:shd w:fill="auto" w:val="clear"/>
        </w:rPr>
        <w:t xml:space="preserve">nomes from 32 cancer types to create comprehensive collections of signatures in both the new 89-type classification and the widely-used 83-type classification.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 the 89-type classification, we re-identified 18 of the 33 non-artifactual signatures in reference 1 and identified 28 novel signatures. Of the signatures that we did not re-identify, 8 could be reconstructed by </w:t>
      </w:r>
      <w:r>
        <w:rPr>
          <w:rFonts w:eastAsia="Liberation Serif" w:cs="Liberation Serif"/>
          <w:shd w:fill="auto" w:val="clear"/>
        </w:rPr>
        <w:t>≤</w:t>
      </w:r>
      <w:r>
        <w:rPr>
          <w:rFonts w:eastAsia="DejaVu Sans" w:cs="Times New Roman" w:ascii="Times New Roman" w:hAnsi="Times New Roman"/>
          <w:shd w:fill="auto" w:val="clear"/>
        </w:rPr>
        <w:t xml:space="preserve"> 3 other signatures in the 89-type classification, and 7 were likely not present in the data we analyzed. </w:t>
      </w:r>
      <w:r>
        <w:rPr>
          <w:shd w:fill="auto" w:val="clear"/>
        </w:rPr>
        <w:t xml:space="preserve">We also detected 15 novel signatures in the older 83-type classification.  Although algorithmic translation between signatures in the 89-type and 83-type classification systems is impossible, we leveraged tumor mutational spectra dominated by individual signatures to exhaustively elucidate the correspondences between signatures in the two classification systems.   </w:t>
      </w:r>
    </w:p>
    <w:p>
      <w:pPr>
        <w:pStyle w:val="normalfirst"/>
        <w:rPr>
          <w:highlight w:val="none"/>
          <w:shd w:fill="auto" w:val="clear"/>
        </w:rPr>
      </w:pPr>
      <w:r>
        <w:rPr>
          <w:shd w:fill="auto" w:val="clear"/>
        </w:rPr>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systems, validate</w:t>
      </w:r>
      <w:r>
        <w:rPr>
          <w:rFonts w:hint="eastAsia"/>
        </w:rPr>
        <w:t>d</w:t>
      </w:r>
      <w:r>
        <w:rPr/>
        <w:t xml:space="preserve"> a novel signature through functional modeling, and further elucidate</w:t>
      </w:r>
      <w:r>
        <w:rPr>
          <w:rFonts w:hint="eastAsia"/>
        </w:rPr>
        <w:t>d</w:t>
      </w:r>
      <w:r>
        <w:rPr/>
        <w:t xml:space="preserve"> </w:t>
      </w:r>
      <w:r>
        <w:rPr>
          <w:rFonts w:hint="eastAsia"/>
        </w:rPr>
        <w:t>indel signatures left by defective DNA mismatch repair.</w:t>
      </w:r>
    </w:p>
    <w:p>
      <w:pPr>
        <w:pStyle w:val="normalfirst"/>
        <w:rPr>
          <w:shd w:fill="FFFF00" w:val="clear"/>
        </w:rPr>
      </w:pPr>
      <w:r>
        <w:rPr>
          <w:shd w:fill="FFFF00" w:val="clear"/>
        </w:rPr>
      </w:r>
    </w:p>
    <w:p>
      <w:pPr>
        <w:pStyle w:val="normalfirst"/>
        <w:rPr/>
      </w:pPr>
      <w:r>
        <w:rPr>
          <w:vertAlign w:val="superscript"/>
        </w:rPr>
        <w:t>1</w:t>
      </w:r>
      <w:r>
        <w:rPr/>
        <w:t xml:space="preserve"> Koh, Nanda, et al, Nature Genetics, 2025, https://doi.org/10.1038/s41588-025-02152-y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宋体"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CommentReference">
    <w:name w:val="annotation reference"/>
    <w:basedOn w:val="DefaultParagraphFont"/>
    <w:uiPriority w:val="99"/>
    <w:semiHidden/>
    <w:unhideWhenUsed/>
    <w:qFormat/>
    <w:rsid w:val="00945bda"/>
    <w:rPr>
      <w:sz w:val="21"/>
      <w:szCs w:val="21"/>
    </w:rPr>
  </w:style>
  <w:style w:type="character" w:styleId="CommentTextChar" w:customStyle="1">
    <w:name w:val="Comment Text Char"/>
    <w:basedOn w:val="DefaultParagraphFont"/>
    <w:link w:val="CommentText"/>
    <w:uiPriority w:val="99"/>
    <w:qFormat/>
    <w:rsid w:val="00945bda"/>
    <w:rPr>
      <w:rFonts w:eastAsia="Noto Serif CJK SC" w:cs="Mangal"/>
      <w:szCs w:val="21"/>
    </w:rPr>
  </w:style>
  <w:style w:type="character" w:styleId="CommentSubjectChar" w:customStyle="1">
    <w:name w:val="Comment Subject Char"/>
    <w:basedOn w:val="CommentTextChar"/>
    <w:link w:val="annotationsubject"/>
    <w:uiPriority w:val="99"/>
    <w:semiHidden/>
    <w:qFormat/>
    <w:rsid w:val="00945bda"/>
    <w:rPr>
      <w:rFonts w:eastAsia="Noto Serif CJK SC" w:cs="Mangal"/>
      <w:b/>
      <w:bCs/>
      <w:szCs w:val="21"/>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Normal"/>
    <w:next w:val="Normal"/>
    <w:uiPriority w:val="10"/>
    <w:qFormat/>
    <w:pPr>
      <w:spacing w:before="0" w:after="240"/>
      <w:contextualSpacing/>
    </w:pPr>
    <w:rPr>
      <w:rFonts w:eastAsia="DejaVu Sans"/>
      <w:b/>
      <w:bCs/>
      <w:spacing w:val="-10"/>
      <w:sz w:val="28"/>
      <w:szCs w:val="28"/>
    </w:rPr>
  </w:style>
  <w:style w:type="paragraph" w:styleId="normalfirst" w:customStyle="1">
    <w:name w:val="normal_first"/>
    <w:basedOn w:val="Normal"/>
    <w:qFormat/>
    <w:pPr/>
    <w:rPr/>
  </w:style>
  <w:style w:type="paragraph" w:styleId="authorsandaff" w:customStyle="1">
    <w:name w:val="authors_and_aff"/>
    <w:basedOn w:val="normalfirst"/>
    <w:qFormat/>
    <w:pPr>
      <w:spacing w:before="0" w:after="120"/>
    </w:pPr>
    <w:rPr/>
  </w:style>
  <w:style w:type="paragraph" w:styleId="Revision">
    <w:name w:val="Revision"/>
    <w:uiPriority w:val="99"/>
    <w:semiHidden/>
    <w:qFormat/>
    <w:rsid w:val="00945bda"/>
    <w:pPr>
      <w:widowControl/>
      <w:suppressAutoHyphens w:val="false"/>
      <w:bidi w:val="0"/>
      <w:spacing w:before="0" w:after="0"/>
      <w:jc w:val="start"/>
    </w:pPr>
    <w:rPr>
      <w:rFonts w:ascii="Liberation Serif" w:hAnsi="Liberation Serif" w:eastAsia="Noto Serif CJK SC" w:cs="Mangal"/>
      <w:color w:val="auto"/>
      <w:kern w:val="2"/>
      <w:sz w:val="24"/>
      <w:szCs w:val="21"/>
      <w:lang w:val="en-US" w:eastAsia="zh-CN" w:bidi="hi-IN"/>
    </w:rPr>
  </w:style>
  <w:style w:type="paragraph" w:styleId="CommentText">
    <w:name w:val="annotation text"/>
    <w:basedOn w:val="Normal"/>
    <w:link w:val="CommentTextChar"/>
    <w:uiPriority w:val="99"/>
    <w:unhideWhenUsed/>
    <w:rsid w:val="00945bda"/>
    <w:pPr/>
    <w:rPr>
      <w:rFonts w:cs="Mangal"/>
      <w:szCs w:val="21"/>
    </w:rPr>
  </w:style>
  <w:style w:type="paragraph" w:styleId="annotationsubject">
    <w:name w:val="annotation subject"/>
    <w:basedOn w:val="CommentText"/>
    <w:next w:val="CommentText"/>
    <w:link w:val="CommentSubjectChar"/>
    <w:uiPriority w:val="99"/>
    <w:semiHidden/>
    <w:unhideWhenUsed/>
    <w:qFormat/>
    <w:rsid w:val="00945bda"/>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LibreOffice/25.8.3.2$Linux_X86_64 LibreOffice_project/580$Build-2</Application>
  <AppVersion>15.0000</AppVersion>
  <Pages>2</Pages>
  <Words>465</Words>
  <Characters>2968</Characters>
  <CharactersWithSpaces>3428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2025-12-17T02:07:00Z</dcterms:created>
  <dc:creator>Mo Liu</dc:creator>
  <dc:description/>
  <dc:language>en-US</dc:language>
  <cp:lastModifiedBy/>
  <dcterms:modified xsi:type="dcterms:W3CDTF">2025-12-18T10:52:42Z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