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ded.xml" ContentType="application/vnd.openxmlformats-officedocument.wordprocessingml.commentsExtended+xml"/>
  <Override PartName="/word/document.xml" ContentType="application/vnd.openxmlformats-officedocument.wordprocessingml.document.main+xml"/>
  <Override PartName="/word/comments.xml" ContentType="application/vnd.openxmlformats-officedocument.wordprocessingml.comments+xml"/>
  <Override PartName="/word/_rels/document.xml.rels" ContentType="application/vnd.openxmlformats-package.relationships+xml"/>
  <Override PartName="/word/footer2.xml" ContentType="application/vnd.openxmlformats-officedocument.wordprocessingml.footer+xml"/>
  <Override PartName="/word/styles.xml" ContentType="application/vnd.openxmlformats-officedocument.wordprocessingml.styles+xml"/>
  <Override PartName="/word/footer3.xml" ContentType="application/vnd.openxmlformats-officedocument.wordprocessingml.footer+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Repertoire of indel m</w:t>
      </w:r>
      <w:bookmarkStart w:id="0" w:name="OLE_LINK1"/>
      <w:r>
        <w:rPr/>
        <w:t>utation</w:t>
      </w:r>
      <w:r>
        <w:rPr>
          <w:rFonts w:hint="eastAsia"/>
        </w:rPr>
        <w:t>al</w:t>
      </w:r>
      <w:r>
        <w:rPr/>
        <w:t xml:space="preserve"> </w:t>
      </w:r>
      <w:r>
        <w:rPr>
          <w:rFonts w:hint="eastAsia"/>
        </w:rPr>
        <w:t>signatures</w:t>
      </w:r>
      <w:r>
        <w:rPr/>
        <w:t xml:space="preserve"> </w:t>
      </w:r>
      <w:r>
        <w:rPr>
          <w:rFonts w:hint="eastAsia"/>
        </w:rPr>
        <w:t>in 7,000 tumors</w:t>
      </w:r>
    </w:p>
    <w:p>
      <w:pPr>
        <w:pStyle w:val="authorsandaff"/>
        <w:spacing w:before="0" w:after="240"/>
        <w:rPr/>
      </w:pPr>
      <w:r>
        <w:rPr/>
        <w:t>Mo Liu</w:t>
      </w:r>
      <w:r>
        <w:rPr>
          <w:rFonts w:hint="eastAsia"/>
        </w:rPr>
        <w:t>1,2,3*#</w:t>
      </w:r>
      <w:r>
        <w:rPr/>
        <w:t>,</w:t>
      </w:r>
      <w:r>
        <w:rPr>
          <w:rFonts w:hint="eastAsia"/>
        </w:rPr>
        <w:t xml:space="preserve"> Mini Huang4*,</w:t>
      </w:r>
      <w:r>
        <w:rPr/>
        <w:t xml:space="preserve"> Qi Zheng</w:t>
      </w:r>
      <w:r>
        <w:rPr>
          <w:rFonts w:hint="eastAsia"/>
        </w:rPr>
        <w:t>1</w:t>
      </w:r>
      <w:r>
        <w:rPr/>
        <w:t>,</w:t>
      </w:r>
      <w:r>
        <w:rPr>
          <w:rFonts w:hint="eastAsia"/>
        </w:rPr>
        <w:t xml:space="preserve"> Arnoud Boot2,3, Shenli Zhang2,3, Szh-Chi Ho2,3, </w:t>
      </w:r>
      <w:r>
        <w:rPr/>
        <w:t>Runtian Yao</w:t>
      </w:r>
      <w:r>
        <w:rPr>
          <w:rFonts w:hint="eastAsia"/>
        </w:rPr>
        <w:t>4</w:t>
      </w:r>
      <w:r>
        <w:rPr/>
        <w:t xml:space="preserve">, </w:t>
      </w:r>
      <w:r>
        <w:rPr>
          <w:rFonts w:hint="eastAsia"/>
        </w:rPr>
        <w:t xml:space="preserve">Ying Yang1, Runxi Shen5, </w:t>
      </w:r>
      <w:r>
        <w:rPr/>
        <w:t>Steven G. Rozen</w:t>
      </w:r>
      <w:r>
        <w:rPr>
          <w:rFonts w:hint="eastAsia"/>
        </w:rPr>
        <w:t>2,3,6,7#</w:t>
      </w:r>
    </w:p>
    <w:p>
      <w:pPr>
        <w:pStyle w:val="authorsandaff"/>
        <w:rPr/>
      </w:pPr>
      <w:r>
        <w:rPr/>
        <w:t>1 Sino-French Hoffmann Institute, School of Basic Medical Sciences, Guangzhou Medical University, Guangzhou, Guangdong 511436, China</w:t>
      </w:r>
    </w:p>
    <w:p>
      <w:pPr>
        <w:pStyle w:val="authorsandaff"/>
        <w:rPr/>
      </w:pPr>
      <w:r>
        <w:rPr>
          <w:rFonts w:hint="eastAsia"/>
        </w:rPr>
        <w:t>2</w:t>
      </w:r>
      <w:r>
        <w:rPr/>
        <w:t xml:space="preserve"> Centre for Computational Biology, Duke–NUS Medical School, 169857 Singapore</w:t>
      </w:r>
    </w:p>
    <w:p>
      <w:pPr>
        <w:pStyle w:val="authorsandaff"/>
        <w:rPr/>
      </w:pPr>
      <w:r>
        <w:rPr>
          <w:rFonts w:hint="eastAsia"/>
        </w:rPr>
        <w:t>3</w:t>
      </w:r>
      <w:r>
        <w:rPr/>
        <w:t xml:space="preserve"> Programme in Cancer and Stem Cell Biology, Duke University–National University of Singapore Medical School (Duke–NUS Medical School), 169857 Singapore  </w:t>
      </w:r>
    </w:p>
    <w:p>
      <w:pPr>
        <w:pStyle w:val="authorsandaff"/>
        <w:rPr/>
      </w:pPr>
      <w:r>
        <w:rPr>
          <w:rFonts w:hint="eastAsia"/>
        </w:rPr>
        <w:t xml:space="preserve">4 </w:t>
      </w:r>
      <w:r>
        <w:rPr/>
        <w:t>Molecular Cancer Research Center, School of Medicine, Shenzhen Campus of Sun Yat-</w:t>
      </w:r>
      <w:r>
        <w:rPr>
          <w:rFonts w:hint="eastAsia"/>
        </w:rPr>
        <w:t>S</w:t>
      </w:r>
      <w:r>
        <w:rPr/>
        <w:t>en University, Sun Yat-sen University, Shenzhen, 518107, China</w:t>
      </w:r>
    </w:p>
    <w:p>
      <w:pPr>
        <w:pStyle w:val="authorsandaff"/>
        <w:rPr/>
      </w:pPr>
      <w:r>
        <w:rPr>
          <w:rFonts w:hint="eastAsia"/>
        </w:rPr>
        <w:t xml:space="preserve">5 </w:t>
      </w:r>
      <w:r>
        <w:rPr/>
        <w:t>Imaging Platform, Broad Institute of Harvard and MIT, Cambridge, Massachusetts, United States</w:t>
      </w:r>
    </w:p>
    <w:p>
      <w:pPr>
        <w:pStyle w:val="authorsandaff"/>
        <w:rPr/>
      </w:pPr>
      <w:r>
        <w:rPr>
          <w:rFonts w:hint="eastAsia"/>
        </w:rPr>
        <w:t>6</w:t>
      </w:r>
      <w:r>
        <w:rPr/>
        <w:t xml:space="preserve"> Department of Biostatistics and Bioinformatics, Duke University School of Medicine, Durham, North Carolina, 27710, United States</w:t>
      </w:r>
    </w:p>
    <w:p>
      <w:pPr>
        <w:pStyle w:val="authorsandaff"/>
        <w:rPr/>
      </w:pPr>
      <w:r>
        <w:rPr/>
        <w:t xml:space="preserve">7 Graduate Institute of Biomedical Sciences, Chang Gung University, Taoyuan City, 33302, Taiwan  </w:t>
      </w:r>
    </w:p>
    <w:p>
      <w:pPr>
        <w:pStyle w:val="authorsandaff"/>
        <w:rPr/>
      </w:pPr>
      <w:r>
        <w:rPr/>
        <w:t xml:space="preserve"># Corresponding authors: E-mails: </w:t>
      </w:r>
      <w:hyperlink r:id="rId2">
        <w:r>
          <w:rPr>
            <w:rStyle w:val="Style7"/>
            <w:rFonts w:hint="eastAsia"/>
          </w:rPr>
          <w:t>mo.liu@gzhmu.edu.cn</w:t>
        </w:r>
      </w:hyperlink>
      <w:r>
        <w:rPr>
          <w:rFonts w:hint="eastAsia"/>
        </w:rPr>
        <w:t>, steverozen@pm.me</w:t>
      </w:r>
    </w:p>
    <w:p>
      <w:pPr>
        <w:pStyle w:val="Normal"/>
        <w:rPr/>
      </w:pPr>
      <w:r>
        <w:rPr/>
      </w:r>
      <w:r>
        <w:br w:type="page"/>
      </w:r>
    </w:p>
    <w:p>
      <w:pPr>
        <w:pStyle w:val="Heading1"/>
        <w:spacing w:before="0" w:after="120"/>
        <w:ind w:hanging="0" w:start="0"/>
        <w:rPr>
          <w:rFonts w:hint="eastAsia"/>
        </w:rPr>
      </w:pPr>
      <w:r>
        <w:rPr>
          <w:rFonts w:hint="eastAsia"/>
        </w:rPr>
        <w:t>Abstract</w:t>
      </w:r>
    </w:p>
    <w:p>
      <w:pPr>
        <w:pStyle w:val="normalfirst"/>
        <w:rPr/>
      </w:pPr>
      <w:r>
        <w:rPr/>
        <w:t xml:space="preserve">Mutational signatures can be thought of as latent factors that explain observed mutational spectra and that often correspond to specific mutagenic mechanisms. Mutational signatures can provide insight into DNA damage and repair, into endogenous and environmental exposures that cause disease, and can guide therapeutic interventions. While study of single-base mutations been dominant in mutational signature research, small insertions and deletions (“indels”) are also known to be important but have been arguably under-studied. In this study, we analyzed somatic indels in over 7,000 whole genomes to create a comprehensive collection of indel mutational signatures. We extracted signatures using both the widely used 83-type classification and a new 89-type classification that provides a more-informative subdivision of single-base indels, and we systematically elucidated the correspondences between signatures in the two classifications.   We used an approach based on hierarchical Dirichlet processes and an approach based on non-negative matrix factorization for signature extraction, and results were broadly consistent between the two approaches </w:t>
      </w:r>
      <w:r>
        <w:rPr>
          <w:shd w:fill="FFFF00" w:val="clear"/>
        </w:rPr>
        <w:t xml:space="preserve">&lt;can we say this?&gt;. </w:t>
      </w:r>
      <w:r>
        <w:rPr/>
        <w:t xml:space="preserve">We identified 15 signatures that were novel in both classification scheme, and we re-identified </w:t>
      </w:r>
      <w:r>
        <w:rPr>
          <w:shd w:fill="FFFF00" w:val="clear"/>
        </w:rPr>
        <w:t>23</w:t>
      </w:r>
      <w:r>
        <w:rPr/>
        <w:t xml:space="preserve"> of the </w:t>
      </w:r>
      <w:r>
        <w:rPr>
          <w:shd w:fill="FFFF00" w:val="clear"/>
        </w:rPr>
        <w:t xml:space="preserve">25? </w:t>
      </w:r>
      <w:r>
        <w:rPr/>
        <w:t xml:space="preserve">COSMIC reference signatures. </w:t>
      </w:r>
      <w:r>
        <w:rPr>
          <w:rFonts w:hint="eastAsia"/>
        </w:rPr>
        <w:t xml:space="preserve">Of note, we used </w:t>
      </w:r>
      <w:r>
        <w:rPr/>
        <w:t>cell-line experiments to</w:t>
      </w:r>
      <w:r>
        <w:rPr>
          <w:rFonts w:hint="eastAsia"/>
        </w:rPr>
        <w:t xml:space="preserve"> show that </w:t>
      </w:r>
      <w:r>
        <w:rPr/>
        <w:t>one</w:t>
      </w:r>
      <w:r>
        <w:rPr>
          <w:rFonts w:hint="eastAsia"/>
        </w:rPr>
        <w:t xml:space="preserve"> </w:t>
      </w:r>
      <w:r>
        <w:rPr/>
        <w:t>novel signature</w:t>
      </w:r>
      <w:r>
        <w:rPr>
          <w:rFonts w:hint="eastAsia"/>
        </w:rPr>
        <w:t xml:space="preserve"> </w:t>
      </w:r>
      <w:r>
        <w:rPr/>
        <w:t xml:space="preserve">is caused by transcription-associated mutagenesis by topoisomerase 1 at sites of genomically incorporated ribonucleotides. </w:t>
      </w:r>
      <w:r>
        <w:rPr>
          <w:shd w:fill="FFFF00" w:val="clear"/>
        </w:rPr>
        <w:t xml:space="preserve">&lt;continue editing from here down depending on results&gt; </w:t>
      </w:r>
      <w:r>
        <w:rPr/>
        <w:t xml:space="preserve">Among the novel signatures, four occurred </w:t>
      </w:r>
      <w:r>
        <w:rPr>
          <w:rFonts w:hint="eastAsia"/>
        </w:rPr>
        <w:t xml:space="preserve">in </w:t>
      </w:r>
      <w:r>
        <w:rPr/>
        <w:t>tumors</w:t>
      </w:r>
      <w:r>
        <w:rPr>
          <w:rFonts w:hint="eastAsia"/>
        </w:rPr>
        <w:t xml:space="preserve"> with </w:t>
      </w:r>
      <w:r>
        <w:rPr/>
        <w:t xml:space="preserve">defective DNA mismatch repair, which were analyzed more extensively </w:t>
      </w:r>
      <w:r>
        <w:rPr>
          <w:rFonts w:hint="eastAsia"/>
        </w:rPr>
        <w:t>in this study</w:t>
      </w:r>
      <w:r>
        <w:rPr/>
        <w:t xml:space="preserve">. Notably, the prevalences of </w:t>
      </w:r>
      <w:r>
        <w:rPr>
          <w:rFonts w:hint="eastAsia"/>
        </w:rPr>
        <w:t>9</w:t>
      </w:r>
      <w:r>
        <w:rPr/>
        <w:t xml:space="preserve"> signatures differed significantly</w:t>
      </w:r>
      <w:r>
        <w:rPr>
          <w:rFonts w:hint="eastAsia"/>
        </w:rPr>
        <w:t xml:space="preserve"> by </w:t>
      </w:r>
      <w:r>
        <w:rPr/>
        <w:t>gender</w:t>
      </w:r>
      <w:r>
        <w:rPr>
          <w:rFonts w:hint="eastAsia"/>
        </w:rPr>
        <w:t xml:space="preserve"> within particular cancer types</w:t>
      </w:r>
      <w:r>
        <w:rPr/>
        <w:t xml:space="preserve">. </w:t>
      </w:r>
      <w:r>
        <w:rPr>
          <w:rFonts w:hint="eastAsia"/>
        </w:rPr>
        <w:t>E</w:t>
      </w:r>
      <w:r>
        <w:rPr/>
        <w:t xml:space="preserve">xamination of signature contributions to somatic mutations in cancer genes revealed that signatures associated with tobacco smoke exposure account for nearly </w:t>
      </w:r>
      <w:r>
        <w:rPr>
          <w:rFonts w:hint="eastAsia"/>
        </w:rPr>
        <w:t>80</w:t>
      </w:r>
      <w:r>
        <w:rPr/>
        <w:t xml:space="preserve">% of </w:t>
      </w:r>
      <w:r>
        <w:rPr>
          <w:rFonts w:hint="eastAsia"/>
        </w:rPr>
        <w:t>exonic indels</w:t>
      </w:r>
      <w:r>
        <w:rPr/>
        <w:t xml:space="preserve"> in the tumor suppressor gene </w:t>
      </w:r>
      <w:r>
        <w:rPr>
          <w:rFonts w:hint="eastAsia"/>
          <w:i/>
          <w:iCs/>
        </w:rPr>
        <w:t>TP53</w:t>
      </w:r>
      <w:r>
        <w:rPr>
          <w:rFonts w:hint="eastAsia"/>
        </w:rPr>
        <w:t xml:space="preserve"> in lung and l</w:t>
      </w:r>
      <w:r>
        <w:rPr/>
        <w:t>i</w:t>
      </w:r>
      <w:r>
        <w:rPr>
          <w:rFonts w:hint="eastAsia"/>
        </w:rPr>
        <w:t>ver cancers</w:t>
      </w:r>
      <w:r>
        <w:rPr/>
        <w:t xml:space="preserve">. This work </w:t>
      </w:r>
      <w:r>
        <w:rPr>
          <w:rFonts w:hint="eastAsia"/>
        </w:rPr>
        <w:t xml:space="preserve">has </w:t>
      </w:r>
      <w:r>
        <w:rPr/>
        <w:t>establishe</w:t>
      </w:r>
      <w:r>
        <w:rPr>
          <w:rFonts w:hint="eastAsia"/>
        </w:rPr>
        <w:t>d</w:t>
      </w:r>
      <w:r>
        <w:rPr/>
        <w:t xml:space="preserve"> an expanded collection of i</w:t>
      </w:r>
      <w:r>
        <w:rPr>
          <w:rFonts w:hint="eastAsia"/>
        </w:rPr>
        <w:t>ndel</w:t>
      </w:r>
      <w:r>
        <w:rPr/>
        <w:t xml:space="preserve"> signatures in both indel classification schemes, validate</w:t>
      </w:r>
      <w:r>
        <w:rPr>
          <w:rFonts w:hint="eastAsia"/>
        </w:rPr>
        <w:t>d</w:t>
      </w:r>
      <w:r>
        <w:rPr/>
        <w:t xml:space="preserve"> a novel signature through functional modeling, elucidate</w:t>
      </w:r>
      <w:r>
        <w:rPr>
          <w:rFonts w:hint="eastAsia"/>
        </w:rPr>
        <w:t>d</w:t>
      </w:r>
      <w:r>
        <w:rPr/>
        <w:t xml:space="preserve"> </w:t>
      </w:r>
      <w:r>
        <w:rPr>
          <w:rFonts w:hint="eastAsia"/>
        </w:rPr>
        <w:t>indel signatures left by defective DNA mismatch repair</w:t>
      </w:r>
      <w:r>
        <w:rPr/>
        <w:t xml:space="preserve">, and has provided insights into biological implications through trait associations. </w:t>
      </w:r>
      <w:r>
        <w:rPr>
          <w:shd w:fill="FFFF00" w:val="clear"/>
        </w:rPr>
        <w:t>We provide a web site for exploring these signatures, the relationships between signatures in the two classifications, and signature attributions in specific tumors, and signatures’ relationships to genomic topography. &lt;can we provide a web page for understanding these signatures? Have we done correlations to SBS signatures? Need to add genomic topography findings</w:t>
      </w:r>
      <w:r>
        <w:rPr/>
        <w:t>&gt;</w:t>
      </w:r>
    </w:p>
    <w:p>
      <w:pPr>
        <w:pStyle w:val="Normal"/>
        <w:rPr/>
      </w:pPr>
      <w:r>
        <w:rPr/>
        <w:t>379 words</w:t>
      </w:r>
      <w:r>
        <w:br w:type="page"/>
      </w:r>
    </w:p>
    <w:p>
      <w:pPr>
        <w:pStyle w:val="Heading1"/>
        <w:spacing w:before="0" w:after="120"/>
        <w:ind w:hanging="0" w:start="0"/>
        <w:rPr/>
      </w:pPr>
      <w:r>
        <w:rPr/>
        <w:t>Introduction</w:t>
      </w:r>
    </w:p>
    <w:p>
      <w:pPr>
        <w:pStyle w:val="normalfirst"/>
        <w:rPr/>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r>
        <w:fldChar w:fldCharType="begin"/>
      </w:r>
      <w:r>
        <w:rPr>
          <w:rStyle w:val="normalfirstChar"/>
          <w:rFonts w:hint="eastAsia"/>
        </w:rPr>
        <w:instrText xml:space="preserve">ADDIN ZOTERO_ITEM CSL_CITATION {"citationID":"myrzr0HC","properties":{"formattedCitation":"(Alexandrov et al. 2014)","plainCitation":"(Alexandrov et al. 2014)","noteIndex":0},"citationItems":[{"id":"LB8OR9DJ/HXLJmVVB","uris":["http://zotero.org/users/14858941/items/RRYFUNRP"],"itemData":{"id":407,"type":"article-journal","DOI":"10.1038/nature12477.Signatures","issue":"7463","page":"415-421","title":"Signatures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R"}],"issued":{"date-parts":[["2014"]]}}}],"schema":"https://github.com/citation-style-language/schema/raw/master/csl-citation.json"}</w:instrText>
      </w:r>
      <w:r>
        <w:rPr>
          <w:rStyle w:val="normalfirstChar"/>
          <w:rFonts w:hint="eastAsia"/>
        </w:rPr>
      </w:r>
      <w:r>
        <w:rPr>
          <w:rStyle w:val="normalfirstChar"/>
          <w:rFonts w:hint="eastAsia"/>
        </w:rPr>
        <w:fldChar w:fldCharType="separate"/>
      </w:r>
      <w:r>
        <w:rPr>
          <w:rStyle w:val="normalfirstChar"/>
          <w:rFonts w:hint="eastAsia"/>
        </w:rPr>
      </w:r>
      <w:r>
        <w:rPr/>
        <w:t>(Alexandrov et al. 2014)</w:t>
      </w:r>
      <w:r>
        <w:rPr>
          <w:rStyle w:val="normalfirstChar"/>
          <w:rFonts w:hint="eastAsia"/>
        </w:rPr>
      </w:r>
      <w:r>
        <w:rPr>
          <w:rStyle w:val="normalfirstChar"/>
          <w:rFonts w:hint="eastAsia"/>
        </w:rPr>
        <w:fldChar w:fldCharType="end"/>
      </w:r>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r>
      <w:r>
        <w:rPr>
          <w:rStyle w:val="normalfirstChar"/>
        </w:rPr>
        <w:fldChar w:fldCharType="end"/>
      </w:r>
      <w:r>
        <w:rPr>
          <w:rStyle w:val="normalfirstChar"/>
        </w:rPr>
        <w:t>, or exogenous sources, including exposure to chemical</w:t>
      </w:r>
      <w:r>
        <w:rPr/>
        <w:t xml:space="preserve"> carcinogens </w:t>
      </w:r>
      <w:r>
        <w:rPr>
          <w:rFonts w:hint="eastAsia"/>
        </w:rPr>
        <w:t>in</w:t>
      </w:r>
      <w:r>
        <w:rPr/>
        <w:t xml:space="preserve"> tobacco smok</w:t>
      </w:r>
      <w:r>
        <w:rPr>
          <w:rFonts w:hint="eastAsia"/>
        </w:rPr>
        <w:t>e</w:t>
      </w:r>
      <w:r>
        <w:rPr/>
        <w:t xml:space="preserve"> or certain herbal medicines </w:t>
      </w:r>
      <w:r>
        <w:fldChar w:fldCharType="begin"/>
      </w:r>
      <w:r>
        <w:rPr/>
        <w:instrText xml:space="preserve">ADDIN ZOTERO_ITEM CSL_CITATION {"citationID":"HweOr1Yg","properties":{"formattedCitation":"(Alexandrov et al. 2016; Ng et al. 2017; Dziuba\\uc0\\u324{}ska-Kusibab et al. 2020; Boot et al. 2020)","plainCitation":"(Alexandrov et al. 2016; Ng et al. 2017; Dziubańska-Kusibab et al. 2020; Boot et al. 2020)","noteIndex":0},"citationItems":[{"id":"LB8OR9DJ/EPuF7XX9","uris":["http://zotero.org/users/14858941/items/D7AJ6DEW"],"itemData":{"id":719,"type":"article-journal","abstract":"Tobacco smoking increases the risk of at least 17 classes of human cancer. We analyzed somatic mutations and DNA methylation in 5243 cancers of types for which tobacco smoking confers an elevated risk. Smoking is associated with increased mutation burdens of multiple distinct mutational signatures, which contribute to different extents in different cancers. One of these signatures, mainly found in cancers derived from tissues directly exposed to tobacco smoke, is attributable to misreplication of DNA damage caused by tobacco carcinogens. Others likely reflect indirect activation of DNA editing by APOBEC cytidine deaminases and of an endogenous clocklike mutational process. Smoking is associated with limited differences in methylation. The results are consistent with the proposition that smoking increases cancer risk by increasing the somatic mutation load, although direct evidence for this mechanism is lacking in some smoking-related cancer types.","container-title":"Science","DOI":"10.1126/science.aag0299","ISSN":"10959203","issue":"6312","note":"PMID: 27811275\npublisher: American Association for the Advancement of Science","page":"618-622","title":"Mutational signatures associated with tobacco smoking in human cancer","volume":"354","author":[{"family":"Alexandrov","given":"Ludmil B."},{"family":"Ju","given":"Young Seok"},{"family":"Haase","given":"Kerstin"},{"family":"Van Loo","given":"Peter"},{"family":"Martincorena","given":"Iñigo"},{"family":"Nik-Zainal","given":"Serena"},{"family":"Totoki","given":"Yasushi"},{"family":"Fujimoto","given":"Akihiro"},{"family":"Nakagawa","given":"Hidewaki"},{"family":"Shibata","given":"Tatsuhiro"},{"family":"Campbell","given":"Peter J."},{"family":"Vineis","given":"Paolo"},{"family":"Phillips","given":"David H."},{"family":"Stratton","given":"Michael R."}],"issued":{"date-parts":[["2016",11,4]]}}},{"id":"LB8OR9DJ/9YXwA8Yu","uris":["http://zotero.org/users/14858941/items/MRBGYGMA"],"itemData":{"id":703,"type":"article-journal","abstract":"Many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lljHfkCg","uris":["http://zotero.org/users/14858941/items/H6T3QXLU"],"itemData":{"id":715,"type":"article-journal","abstract":"The mucosal epithelium is a common target of damage by chronic bacterial infections and the accompanying toxins, and most cancers originate from this tissue. We investigated whether colibactin, a potent genotoxin1 associated with certain strains of Escherichia coli2, creates a specific DNA-damage signature in infected human colorectal cells. Notably, the genomic contexts of colibactin-induced DNA double-strand breaks were enriched for an AT-rich hexameric sequence motif, associated with distinct DNA-shape characteristics. A survey of somatic mutations at colibactin target sites of several thousand cancer genomes revealed notable enrichment of this motif in colorectal cancers. Moreover, the exact double-strand-break loci corresponded with mutational hot spots in cancer genomes, reminiscent of a trinucleotide signature previously identified in healthy colorectal epithelial cells3. The present study provides evidence for the etiological role of colibactin in human cancer.","container-title":"Nature Medicine","DOI":"10.1038/s41591-020-0908-2","ISSN":"1546170X","issue":"7","note":"PMID: 32483361\npublisher: Nature Research","page":"1063-1069","title":"Colibactin DNA-damage signature indicates mutational impact in colorectal cancer","volume":"26","author":[{"family":"Dziubańska-Kusibab","given":"Paulina J."},{"family":"Berger","given":"Hilmar"},{"family":"Battistini","given":"Federica"},{"family":"Bouwman","given":"Britta A.M."},{"family":"Iftekhar","given":"Amina"},{"family":"Katainen","given":"Riku"},{"family":"Cajuso","given":"Tatiana"},{"family":"Crosetto","given":"Nicola"},{"family":"Orozco","given":"Modesto"},{"family":"Aaltonen","given":"Lauri A."},{"family":"Meyer","given":"Thomas F."}],"issued":{"date-parts":[["2020",7,1]]}}},{"id":"LB8OR9DJ/uxRZHAiB","uris":["http://zotero.org/users/14858941/items/52N2VB8F"],"itemData":{"id":709,"type":"article-journal","abstract":"Mutational signatures can reveal the history of mutagenic processes that cells were exposed to before and during tumorigenesis. We expect that as-yet-undiscovered mutational processes will shed further light on mutagenesis leading to carcinogenesis. With this in mind, we analyzed the mutational spectra of 36 Asian oral squamous cell carcinomas. The mutational spectra of two samples from patients who presented with oral bacterial infections showed novel mutational signatures. One of these novel signatures, SBS_AnT, is characterized by a preponderance of thymine mutations, strong transcriptional strand bias, and enrichment for adenines in the 4 bp 5' of mutation sites. The mutational signature described in this manuscript was shown to be caused by colibactin, a bacterial mutagen produced by E. coli carrying the pks-island. Examination of publicly available sequencing data revealed SBS_AnT in 25 tumors from several mucosal tissue types, expanding the list of tissues in which this mutational signature is observed.","container-title":"Genome Research","DOI":"10.1101/gr.255620.119","ISSN":"15495469","issue":"6","note":"PMID: 32661091\npublisher: Cold Spring Harbor Laboratory Press","page":"803-813","title":"Characterization of colibactin-associated mutational signature in an Asian oral squamous cell carcinoma and in other mucosal tumor types","volume":"30","author":[{"family":"Boot","given":"Arnoud"},{"family":"Ng","given":"Alvin W.T."},{"family":"Chong","given":"Fui Teen"},{"family":"Ho","given":"Szu Chi"},{"family":"Yu","given":"Willie"},{"family":"Tan","given":"Daniel S.W."},{"family":"Iyer","given":"N. Gopalakrishna"},{"family":"Roze","given":"Steven G."}],"issued":{"date-parts":[["2020",6,1]]}}}],"schema":"https://github.com/citation-style-language/schema/raw/master/csl-citation.json"}</w:instrText>
      </w:r>
      <w:r>
        <w:rPr/>
      </w:r>
      <w:r>
        <w:rPr/>
        <w:fldChar w:fldCharType="separate"/>
      </w:r>
      <w:r>
        <w:rPr/>
        <w:t>(Alexandrov et al. 2016; Ng et al. 2017; Dziubańska-Kusibab et al. 2020; Boot et al. 2020)</w:t>
      </w:r>
      <w:r>
        <w:rPr/>
      </w:r>
      <w:r>
        <w:rPr/>
        <w:fldChar w:fldCharType="end"/>
      </w:r>
      <w:r>
        <w:rPr/>
        <w:t xml:space="preserve">. Mutational signature analysis provides insights into cancer etiology, prognosis, prevention, </w:t>
      </w:r>
      <w:r>
        <w:rPr>
          <w:rFonts w:hint="eastAsia"/>
        </w:rPr>
        <w:t xml:space="preserve">evolution, </w:t>
      </w:r>
      <w:r>
        <w:rPr/>
        <w:t xml:space="preserve">and </w:t>
      </w:r>
      <w:r>
        <w:rPr>
          <w:rFonts w:hint="eastAsia"/>
        </w:rPr>
        <w:t xml:space="preserve">mutational signatures can </w:t>
      </w:r>
      <w:r>
        <w:rPr/>
        <w:t>also serv</w:t>
      </w:r>
      <w:r>
        <w:rPr>
          <w:rFonts w:hint="eastAsia"/>
        </w:rPr>
        <w:t>e</w:t>
      </w:r>
      <w:r>
        <w:rPr/>
        <w:t xml:space="preserve"> as biomarkers for mutagenic exposures</w:t>
      </w:r>
      <w:r>
        <w:rPr>
          <w:rFonts w:hint="eastAsia"/>
        </w:rPr>
        <w:t xml:space="preserve"> </w:t>
      </w:r>
    </w:p>
    <w:p>
      <w:pPr>
        <w:pStyle w:val="Normal"/>
        <w:rPr/>
      </w:pPr>
      <w:r>
        <w:rPr/>
        <w:t xml:space="preserve">By “mutational signatures” we mean distinctive patterns </w:t>
      </w:r>
      <w:r>
        <w:rPr>
          <w:rFonts w:hint="eastAsia"/>
        </w:rPr>
        <w:t xml:space="preserve">of mutations </w:t>
      </w:r>
      <w:r>
        <w:rPr/>
        <w:t>left on genomes by mutagenic processes or exposures. They can be identified by exposing cultured cells</w:t>
      </w:r>
      <w:r>
        <w:rPr>
          <w:rFonts w:hint="eastAsia"/>
        </w:rPr>
        <w:t>, organoids, or experimental animals</w:t>
      </w:r>
      <w:r>
        <w:rPr/>
        <w:t xml:space="preserve"> to suspected mutagens or </w:t>
      </w:r>
      <w:r>
        <w:rPr>
          <w:rFonts w:hint="eastAsia"/>
        </w:rPr>
        <w:t xml:space="preserve">perturbing DNA repair pathways </w:t>
      </w:r>
      <w:r>
        <w:rPr/>
        <w:t xml:space="preserve">and then sequencing the </w:t>
      </w:r>
      <w:r>
        <w:rPr>
          <w:rFonts w:hint="eastAsia"/>
        </w:rPr>
        <w:t xml:space="preserve">affected </w:t>
      </w:r>
      <w:r>
        <w:rPr/>
        <w:t xml:space="preserve">genomes </w:t>
      </w:r>
      <w:r>
        <w:fldChar w:fldCharType="begin"/>
      </w:r>
      <w:r>
        <w:rPr/>
        <w:instrText xml:space="preserve">ADDIN ZOTERO_ITEM CSL_CITATION {"citationID":"jG8gd0B6","properties":{"formattedCitation":"(Boot et al. 2018; Huang et al. 2017; Kucab et al. 2019; Caipa Garcia et al. 2024; Riva et al. 2020)","plainCitation":"(Boot et al. 2018; Huang et al. 2017; Kucab et al. 2019; Caipa Garcia et al. 2024; Riva et al. 2020)","noteIndex":0},"citationItems":[{"id":"LB8OR9DJ/FhhHsfWG","uris":["http://zotero.org/users/14858941/items/6QYA9AF9"],"itemData":{"id":707,"type":"article-journal","abstract":"Cisplatin reacts with DNA and thereby likely generates a characteristic pattern of somatic mutations, called a mutational signature. Despite widespread use of cisplatin in cancer treatment and its role in contributing to secondary malignancies, its mutational signature has not been delineated. We hypothesize that cisplatin’s mutational signature can serve as a biomarker to identify cisplatin mutagenesis in suspected secondary malignancies. Knowledge of which tissues are at risk of developing cisplatin-induced secondary malignancies could lead to guidelines for noninvasive monitoring for secondary malignancies after cisplatin chemotherapy. We performed whole genome sequencing of 10 independent clones of cisplatin-exposed MCF-10A and HepG2 cells and delineated the patterns of single and dinucleotide mutations in terms of flanking sequence, transcription strand bias, and other characteristics. We used the mSigAct signature presence test and nonnegative matrix factorization to search for cisplatin mutagenesis in hepatocellular carcinomas and esophageal adenocarcinomas. All clones showed highly consistent patterns of single and dinucleotide substitutions. The proportion of dinucleotide substitutions was high: 8.1% of single nucleotide substitutions were part of dinucleotide substitutions, presumably due to cisplatin’s propensity to form intra- and interstrand crosslinks between purine bases in DNA. We identified likely cisplatin exposure in nine hepatocellular carcinomas and three esophageal adenocarcinomas. All hepatocellular carcinomas for which clinical data were available and all esophageal cancers indeed had histories of cisplatin treatment. We experimentally delineated the single and dinucleotide mutational signature of cisplatin. This signature enabled us to detect previous cisplatin exposure in human hepatocellular carcinomas and esophageal adenocarcinomas with high confidence.","container-title":"Genome Research","DOI":"10.1101/gr.230219.117","ISSN":"15495469","issue":"5","note":"PMID: 29632087\npublisher: Cold Spring Harbor Laboratory Press","page":"654-665","title":"In-depth characterization of the cisplatin mutational signature in human cell lines and in esophageal and liver tumors","volume":"28","author":[{"family":"Boot","given":"Arnoud"},{"family":"Huang","given":"Mi Ni"},{"family":"Ng","given":"Alvin W.T."},{"family":"Ho","given":"Szu Chi"},{"family":"Lim","given":"Jing Quan"},{"family":"Kawakami","given":"Yoshiiku"},{"family":"Chayama","given":"Kazuaki"},{"family":"Teh","given":"Bin Tean"},{"family":"Nakagawa","given":"Hidewaki"},{"family":"Rozen","given":"Steven G."}],"issued":{"date-parts":[["2018",5,1]]}}},{"id":"LB8OR9DJ/I2M65Om9","uris":["http://zotero.org/users/14858941/items/Q53JF7HS"],"itemData":{"id":523,"type":"article-journal","abstract":"Aflatoxin B1 (AFB1) is a mutagen and IARC (International Agency for Research on Cancer) Group 1 carcinogen that causes hepatocellular carcinoma (HCC). Here, we present the first whole-genome data on the mutational signatures of AFB1 exposure from a total of &gt;40,000 mutations in four experimental systems: two different human cell lines, in liver tumors in wild-type mice, and in mice that carried a hepatitis B surface antigen transgene-this to model the multiplicative effects of aflatoxin exposure and hepatitis B in causing HCC. AFB1 mutational signatures from all four experimental systems were remarkably similar. We integrated the experimental mutational signatures with data from newly sequenced HCCs from Qidong County, China, a region of well-studied aflatoxin exposure. This indicated that COSMIC mutational signature 24, previously hypothesized to stem from aflatoxin exposure, indeed likely represents AFB1 exposure, possibly combined with other exposures. Among published somatic mutation data, we found evidence of AFB1 exposure in 0.7% of HCCs treated in North America, 1% of HCCs from Japan, but 16% of HCCs from Hong Kong. Thus, aflatoxin exposure apparently remains a substantial public health issue in some areas. This aspect of our study exemplifies the promise of future widespread resequencing of tumor genomes in providing new insights into the contribution of mutagenic exposures to cancer incidence.","container-title":"Genome Research","DOI":"10.1101/gr.220038.116","ISSN":"15495469","issue":"9","note":"PMID: 28739859","page":"1475-1486","title":"Genome-scale mutational signatures of aflatoxin in cells, mice, and human tumors","volume":"27","author":[{"family":"Huang","given":"Mi Ni"},{"family":"Yu","given":"Willie"},{"family":"Teoh","given":"Wei Wei"},{"family":"Ardin","given":"Maude"},{"family":"Jusakul","given":"Apinya"},{"family":"Ng","given":"Alvin Wei Tian"},{"family":"Boot","given":"Arnoud"},{"family":"Abedi-Ardekani","given":"Behnoush"},{"family":"Villar","given":"Stephanie"},{"family":"Myint","given":"Swe Swe"},{"family":"Othman","given":"Rashidah"},{"family":"Poon","given":"Song Ling"},{"family":"Heguy","given":"Adriana"},{"family":"Olivier","given":"Magali"},{"family":"Hollstein","given":"Monica"},{"family":"Tan","given":"Patrick"},{"family":"Teh","given":"Bin Tean"},{"family":"Sabapathy","given":"Kanaga"},{"family":"Zavadil","given":"Jiri"},{"family":"Rozen","given":"Steven G."}],"issued":{"date-parts":[["2017"]]}}},{"id":"LB8OR9DJ/jN38vBiS","uris":["http://zotero.org/users/14858941/items/68A8PIRQ"],"itemData":{"id":657,"type":"article-journal","abstract":"Whole-genome-sequencing (WGS) of human tumors has revealed distinct mutation patterns that hint at the causative origins of cancer. We examined mutational signatures in 324 WGS human-induced pluripotent stem cells exposed to 79 known or suspected environmental carcinogens. Forty-one yielded characteristic substitution mutational signatures. Some were similar to signatures found in human tumors. Additionally, six agents produced double-substitution signatures and eight produced indel signatures. Investigating mutation asymmetries across genome topography revealed fully functional mismatch and transcription-coupled repair pathways. DNA damage induced by environmental mutagens can be resolved by disparate repair and/or replicative pathways, resulting in an assortment of signature outcomes even for a single agent. This compendium of experimentally induced mutational signatures permits further exploration of roles of environmental agents in cancer etiology and underscores how human stem cell DNA is directly vulnerable to environmental agents. Video Abstract: The effects of a range of environmental mutagens in terms of the kinds of mutations they induce and how these are repaired by the cell is presented in the form of a resource.","container-title":"Cell","DOI":"10.1016/j.cell.2019.03.001","ISSN":"10974172","issue":"4","note":"PMID: 30982602\npublisher: Cell Press","page":"821-836.e16","title":"A Compendium of Mutational Signatures of Environmental Agents","volume":"177","author":[{"family":"Kucab","given":"Jill E."},{"family":"Zou","given":"Xueqing"},{"family":"Morganella","given":"Sandro"},{"family":"Joel","given":"Madeleine"},{"family":"Nanda","given":"A. Scott"},{"family":"Nagy","given":"Eszter"},{"family":"Gomez","given":"Celine"},{"family":"Degasperi","given":"Andrea"},{"family":"Harris","given":"Rebecca"},{"family":"Jackson","given":"Stephen P."},{"family":"Arlt","given":"Volker M."},{"family":"Phillips","given":"David H."},{"family":"Nik-Zainal","given":"Serena"}],"issued":{"date-parts":[["2019",5,2]]}}},{"id":"LB8OR9DJ/sPsuVMRo","uris":["http://zotero.org/users/14858941/items/ZHYU7DND"],"itemData":{"id":723,"type":"article-journal","abstract":"Human tissue three-dimensional (3D) organoid cultures have the potential to reproduce in vitro the physiological properties and cellular architecture of the organs from which they are derived. The ability of organoid cultures derived from human stomach, liver, kidney, and colon to metabolically activate three dietary carcinogens, aflatoxin B1 (AFB1), aristolochic acid I (AAI), and 2-amino-1-methyl-6-phenylimidazo[4,5-b]pyridine (PhIP), was investigated. In each case, the response of a target tissue (liver for AFB1; kidney for AAI; colon for PhIP) was compared with that of a nontarget tissue (gastric). After treatment cell viabilities were measured, DNA damage response (DDR) was determined by Western blotting for p-p53, p21, p-CHK2, and γ-H2AX, and DNA adduct formation was quantified by mass spectrometry. Induction of the key xenobiotic-metabolizing enzymes (XMEs) CYP1A1, CYP1A2, CYP3A4, and NQO1 was assessed by qRT-PCR. We found that organoids from different tissues can activate AAI, AFB1, and PhIP. In some cases, this metabolic potential varied between tissues and between different cultures of the same tissue. Similarly, variations in the levels of expression of XMEs were observed. At comparable levels of cytotoxicity, organoids derived from tissues that are considered targets for these carcinogens had higher levels of adduct formation than a nontarget tissue.","container-title":"Chemical Research in Toxicology","DOI":"10.1021/acs.chemrestox.3c00255","ISSN":"0893-228X, 1520-5010","issue":"2","journalAbbreviation":"Chem. Res. Toxicol.","language":"en","license":"https://creativecommons.org/licenses/by/4.0/","page":"234-247","source":"DOI.org (Crossref)","title":"Tissue Organoid Cultures Metabolize Dietary Carcinogens Proficiently and Are Effective Models for DNA Adduct Formation","volume":"37","author":[{"family":"Caipa Garcia","given":"Angela L."},{"family":"Kucab","given":"Jill E."},{"family":"Al-Serori","given":"Halh"},{"family":"Beck","given":"Rebekah S. S."},{"family":"Bellamri","given":"Madjda"},{"family":"Turesky","given":"Robert J."},{"family":"Groopman","given":"John D."},{"family":"Francies","given":"Hayley E."},{"family":"Garnett","given":"Mathew J."},{"family":"Huch","given":"Meritxell"},{"family":"Drost","given":"Jarno"},{"family":"Zilbauer","given":"Matthias"},{"family":"Arlt","given":"Volker M."},{"family":"Phillips","given":"David H."}],"issued":{"date-parts":[["2024",2,19]]}}},{"id":"LB8OR9DJ/tXqHXb7i","uris":["http://zotero.org/users/14858941/items/JN7Q4RD4"],"itemData":{"id":724,"type":"article-journal","container-title":"Nature Genetics","DOI":"10.1038/s41588-020-0692-4","ISSN":"1061-4036, 1546-1718","issue":"11","journalAbbreviation":"Nat Genet","language":"en","page":"1189-1197","source":"DOI.org (Crossref)","title":"The mutational signature profile of known and suspected human carcinogens in mice","volume":"52","author":[{"family":"Riva","given":"Laura"},{"family":"Pandiri","given":"Arun R."},{"family":"Li","given":"Yun Rose"},{"family":"Droop","given":"Alastair"},{"family":"Hewinson","given":"James"},{"family":"Quail","given":"Michael A."},{"family":"Iyer","given":"Vivek"},{"family":"Shepherd","given":"Rebecca"},{"family":"Herbert","given":"Ronald A."},{"family":"Campbell","given":"Peter J."},{"family":"Sills","given":"Robert C."},{"family":"Alexandrov","given":"Ludmil B."},{"family":"Balmain","given":"Allan"},{"family":"Adams","given":"David J."}],"issued":{"date-parts":[["2020",11]]}}}],"schema":"https://github.com/citation-style-language/schema/raw/master/csl-citation.json"}</w:instrText>
      </w:r>
      <w:r>
        <w:rPr/>
      </w:r>
      <w:r>
        <w:rPr/>
        <w:fldChar w:fldCharType="separate"/>
      </w:r>
      <w:r>
        <w:rPr/>
        <w:t>(Boot et al. 2018; Huang et al. 2017; Kucab et al. 2019; Caipa Garcia et al. 2024; Riva et al. 2020)</w:t>
      </w:r>
      <w:r>
        <w:rPr/>
      </w:r>
      <w:r>
        <w:rPr/>
        <w:fldChar w:fldCharType="end"/>
      </w:r>
      <w:r>
        <w:rPr/>
        <w:t>. In addition, machine learning can identify mutational signatures as latent factors that explain the patterns of mutations in large collections of somatic mutation dat</w:t>
      </w:r>
      <w:r>
        <w:rPr>
          <w:rFonts w:hint="eastAsia"/>
        </w:rPr>
        <w:t xml:space="preserve">a </w:t>
      </w:r>
      <w:r>
        <w:fldChar w:fldCharType="begin"/>
      </w:r>
      <w:r>
        <w:rPr>
          <w:rFonts w:hint="eastAsia"/>
        </w:rPr>
        <w:instrText xml:space="preserve">ADDIN ZOTERO_ITEM CSL_CITATION {"citationID":"xlu6Z2Gq","properties":{"formattedCitation":"(Alexandrov et al. 2020; 2014; Nik-Zainal et al. 2012; Degasperi et al. 2022; Chen et al. 2024; Jin et al. 2024; Koh et al. 2025)","plainCitation":"(Alexandrov et al. 2020; 2014; Nik-Zainal et al. 2012; Degasperi et al. 2022; Chen et al. 2024; Jin et al. 2024; Koh et al. 2025)","noteIndex":0},"citationItems":[{"id":"LB8OR9DJ/jGITRxMJ","uris":["http://zotero.org/users/14858941/items/D4J6FKUG"],"itemData":{"id":659,"type":"article-journal","abstract":"Somatic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id":"LB8OR9DJ/HXLJmVVB","uris":["http://zotero.org/users/14858941/items/RRYFUNRP"],"itemData":{"id":407,"type":"article-journal","DOI":"10.1038/nature12477.Signatures","issue":"7463","page":"415-421","title":"Signatures of mutational processes in human cancer","volume":"500","author":[{"family":"Alexandrov","given":"Ludmil B"},{"family":"Nik-zainal","given":"Serena"},{"family":"Wedge","given":"David C"},{"family":"Aparicio","given":"Samuel A J R"}],"issued":{"date-parts":[["2014"]]}}},{"id":"LB8OR9DJ/JxMbHy5h","uris":["http://zotero.org/users/14858941/items/VJYSVGFQ"],"itemData":{"id":399,"type":"article-journal","abstract":"All cancers carry somatic mutations. The patterns of mutation in cancer genomes reflect the DNA damage and repair processes to which cancer cells and their precursors have been exposed. To explore these mechanisms further, we generated catalogs of somatic mutation from 21 breast cancers and applied mathematical methods to extract mutational signatures of the underlying processes. Multiple distinct single- and double-nucleotide substitution signatures were discernible. Cancers with BRCA1 or BRCA2 mutations exhibited a characteristic combination of substitution mutation signatures and a distinctive profile of deletions. Complex relationships between somatic mutation prevalence and transcription were detected. A remarkable phenomenon of localized hypermutation, termed \"kataegis,\" was observed. Regions of kataegis differed between cancers but usually colocalized with somatic rearrangements. Base substitutions in these regions were almost exclusively of cytosine at TpC dinucleotides. The mechanisms underlying most of these mutational signatures are unknown. However, a role for the APOBEC family of cytidine deaminases is proposed. © 2012 Elsevier Inc.","container-title":"Cell","DOI":"10.1016/j.cell.2012.04.024","ISSN":"00928674","issue":"5","note":"PMID: 22608084\nISBN: 1097-4172 (Electronic)\\r0092-8674 (Linking)","page":"979-993","title":"Mutational processes molding the genomes of 21 breast cancers","volume":"149","author":[{"family":"Nik-Zainal","given":"Serena"},{"family":"Alexandrov","given":"Ludmil B."},{"family":"Wedge","given":"David C."},{"family":"Van Loo","given":"Peter"},{"family":"Greenman","given":"Christopher D."},{"family":"Raine","given":"Keiran"},{"family":"Jones","given":"David"},{"family":"Hinton","given":"Jonathan"},{"family":"Marshall","given":"John"},{"family":"Stebbings","given":"Lucy A."},{"family":"Menzies","given":"Andrew"},{"family":"Martin","given":"Sancha"},{"family":"Leung","given":"Kenric"},{"family":"Chen","given":"Lina"},{"family":"Leroy","given":"Catherine"},{"family":"Ramakrishna","given":"Manasa"},{"family":"Rance","given":"Richard"},{"family":"Lau","given":"King Wai"},{"family":"Mudie","given":"Laura J."},{"family":"Varela","given":"Ignacio"},{"family":"McBride","given":"David J."},{"family":"Bignell","given":"Graham R."},{"family":"Cooke","given":"Susanna L."},{"family":"Shlien","given":"Adam"},{"family":"Gamble","given":"John"},{"family":"Whitmore","given":"Ian"},{"family":"Maddison","given":"Mark"},{"family":"Tarpey","given":"Patrick S."},{"family":"Davies","given":"Helen R."},{"family":"Papaemmanuil","given":"Elli"},{"family":"Stephens","given":"Philip J."},{"family":"McLaren","given":"Stuart"},{"family":"Butler","given":"Adam P."},{"family":"Teague","given":"Jon W."},{"family":"Jönsson","given":"Göran"},{"family":"Garber","given":"Judy E."},{"family":"Silver","given":"Daniel"},{"family":"Miron","given":"Penelope"},{"family":"Fatima","given":"Aquila"},{"family":"Boyault","given":"Sandrine"},{"family":"Langerod","given":"Anita"},{"family":"Tutt","given":"Andrew"},{"family":"Martens","given":"John W.M."},{"family":"Aparicio","given":"Samuel A.J.R."},{"family":"Borg","given":"Åke"},{"family":"Salomon","given":"Anne Vincent"},{"family":"Thomas","given":"Gilles"},{"family":"Borresen-Dale","given":"Anne Lise"},{"family":"Richardson","given":"Andrea L."},{"family":"Neuberger","given":"Michael S."},{"family":"Futreal","given":"P. Andrew"},{"family":"Campbell","given":"Peter J."},{"family":"Stratton","given":"Michael R."}],"issued":{"date-parts":[["2012"]]}}},{"id":"LB8OR9DJ/rJwDJI39","uris":["http://zotero.org/users/14858941/items/TB9QELAF"],"itemData":{"id":634,"type":"article-journal","abstract":"Whole-genome sequencing (WGS) permits comprehensive cancer genome analyses, revealing mutational signatures, imprints of DNA damage, and repair processes that have arisen in each patient’s cancer. We performed mutational signature analyses on 12,222 whole-genome–sequenced tumor-normal matched pairs from patients recruited via the UK National Health Service (NHS). We contrasted our results with two independent cancer WGS datasets—from the International Cancer Genome Consortium (ICGC) and the Hartwig Medical Foundation (HMF)—involving 18,640 whole-genome–sequenced cancers in total. Our analyses add 40 single and 18 double substitution signatures to the current mutational signature tally. We show for each organ that cancers have a limited number of common signatures and a long tail of rare signatures, and we provide a practical solution for applying this concept of common versus rare signatures to future analyses.","container-title":"Science","DOI":"10.1126/science.abl9283","ISSN":"10959203","issue":"6591","note":"PMID: 35949260\npublisher: American Association for the Advancement of Science","title":"Substitution mutational signatures in whole-genome–sequenced cancers in the UK population","volume":"376","author":[{"family":"Degasperi","given":"Andrea"},{"family":"Zou","given":"Xueqing"},{"family":"Amarante","given":"Tauanne Dias"},{"family":"Martinez-Martinez","given":"Andrea"},{"family":"Koh","given":"Gene Ching Chiek"},{"family":"Dias","given":"João M.L."},{"family":"Heskin","given":"Laura"},{"family":"Chmelova","given":"Lucia"},{"family":"Rinaldi","given":"Giuseppe"},{"family":"Wang","given":"Valerie Ya Wen"},{"family":"Nanda","given":"Arjun S."},{"family":"Bernstein","given":"Aaron"},{"family":"Momen","given":"Sophie E."},{"family":"Young","given":"Jamie"},{"family":"Perez-Gil","given":"Daniel"},{"family":"Memari","given":"Yasin"},{"family":"Badja","given":"Cherif"},{"family":"Shooter","given":"Scott"},{"family":"Czarnecki","given":"Jan"},{"family":"Brown","given":"Matthew A."},{"family":"Davies","given":"Helen R."},{"family":"Nik-Zainal","given":"Serena"}],"issued":{"date-parts":[["2022",4,22]]}}},{"id":"LB8OR9DJ/ntnLGUnM","uris":["http://zotero.org/users/14858941/items/U9IWAMHL"],"itemData":{"id":630,"type":"article-journal","abstract":"Over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Fonts w:hint="eastAsia"/>
        </w:rPr>
      </w:r>
      <w:r>
        <w:rPr>
          <w:rFonts w:hint="eastAsia"/>
        </w:rPr>
        <w:fldChar w:fldCharType="separate"/>
      </w:r>
      <w:r>
        <w:rPr>
          <w:rFonts w:hint="eastAsia"/>
        </w:rPr>
      </w:r>
      <w:r>
        <w:rPr/>
        <w:t>(Alexandrov et al. 2020; 2014; Nik-Zainal et al. 2012; Degasperi et al. 2022; Chen et al. 2024; Jin et al. 2024; Koh et al. 2025)</w:t>
      </w:r>
      <w:r>
        <w:rPr>
          <w:rFonts w:hint="eastAsia"/>
        </w:rPr>
      </w:r>
      <w:r>
        <w:rPr>
          <w:rFonts w:hint="eastAsia"/>
        </w:rPr>
        <w:fldChar w:fldCharType="end"/>
      </w:r>
      <w:r>
        <w:rPr/>
        <w:t>. For example, data mining of upper tract urothelial cancers (UTUC) from Taiwan initially identified the aristolochic acid (AA) single-base substitution (SBS) signature</w:t>
      </w:r>
      <w:r>
        <w:rPr>
          <w:rFonts w:hint="eastAsia"/>
        </w:rPr>
        <w:t xml:space="preserve"> </w:t>
      </w:r>
      <w:r>
        <w:fldChar w:fldCharType="begin"/>
      </w:r>
      <w:r>
        <w:rPr>
          <w:rFonts w:hint="eastAsia"/>
        </w:rPr>
        <w:instrText xml:space="preserve">ADDIN ZOTERO_ITEM CSL_CITATION {"citationID":"earEN8hA","properties":{"formattedCitation":"(Hoang et al. 2013; Poon et al. 2013)","plainCitation":"(Hoang et al. 2013; Poon et al. 2013)","noteIndex":0},"citationItems":[{"id":"LB8OR9DJ/D1cOHntJ","uris":["http://zotero.org/users/14858941/items/S55I5SSE"],"itemData":{"id":891,"type":"article-journal","abstract":"The mutational signature of aristolochic acid exemplifies how genome-wide sequencing can be used to identify environmental exposures leading to cancer.\n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In humans, exposure to aristolochic acid (AA) is associated with urothelial carcinoma of the upper urinary tract (UTUC). Exome sequencing of UTUCs from 19 individuals with documented exposure to AA revealed a remarkably large number of somatic mutations and an unusual mutational signature attributable to AA. Most of the mutations (72%) in these tumors were A:T-to-T:A transversions, located predominantly on the nontranscribed strand, with a strong preference for deoxyadenosine in a consensus sequence (T/C\n              A\n              G). This trinucleotide motif overlaps the canonical splice acceptor site, possibly accounting for the excess of splice site mutations observed in these tumors. The AA mutational fingerprint was found frequently in oncogenes and tumor suppressor genes in AA-associated UTUC. The AA mutational signature was observed in one patient’s tumor from a UTUC cohort without previous indication of AA exposure. Together, these results directly link an established environmental mutagen to cancer through genome-wide sequencing and highlight its power to reveal individual exposure to carcinogens.","container-title":"Science Translational Medicine","DOI":"10.1126/scitranslmed.3006200","ISSN":"1946-6234, 1946-6242","issue":"197","journalAbbreviation":"Sci. Transl. Med.","language":"en","source":"DOI.org (Crossref)","title":"Mutational Signature of Aristolochic Acid Exposure as Revealed by Whole-Exome Sequencing","URL":"https://www.science.org/doi/10.1126/scitranslmed.3006200","volume":"5","author":[{"family":"Hoang","given":"Margaret L."},{"family":"Chen","given":"Chung-Hsin"},{"family":"Sidorenko","given":"Viktoriya S."},{"family":"He","given":"Jian"},{"family":"Dickman","given":"Kathleen G."},{"family":"Yun","given":"Byeong Hwa"},{"family":"Moriya","given":"Masaaki"},{"family":"Niknafs","given":"Noushin"},{"family":"Douville","given":"Christopher"},{"family":"Karchin","given":"Rachel"},{"family":"Turesky","given":"Robert J."},{"family":"Pu","given":"Yeong-Shiau"},{"family":"Vogelstein","given":"Bert"},{"family":"Papadopoulos","given":"Nickolas"},{"family":"Grollman","given":"Arthur P."},{"family":"Kinzler","given":"Kenneth W."},{"family":"Rosenquist","given":"Thomas A."}],"accessed":{"date-parts":[["2025",4,17]]},"issued":{"date-parts":[["2013",8,7]]}}},{"id":"LB8OR9DJ/EnjwO7cC","uris":["http://zotero.org/users/14858941/items/NWN6BXZ7"],"itemData":{"id":890,"type":"article-journal","abstract":"Genome-wide mutational signatures of the group 1 carcinogen aristolochic acid are observed in urothelial cancers and liver cancers from Asia.\n          , \n            Carcinogen AAlert\n            \n              Aristolochic acid (AA) is a natural compound derived from plants in the\n              Aristolochia\n              genus. For centuries,\n              Aristolochia\n              has been used throughout Asia to treat a variety of ailments as a component of traditional Chinese medicine. In recent years, however, a more sinister side of this herb has come to light when it was linked to kidney damage and cancers of the urinary tract. Now, two studies by Poon\n              et al.\n              and Hoang\n              et al.\n              present a “molecular signature” of AA-induced DNA damage, which helps to explain the mutagenic effects of AA and may also be useful as a way to detect unsuspected AA exposure as a cause of cancer.\n            \n            The molecular signature seen in AA-associated tumors is characterized by a predominance of A:T-to-T:A transversions, a relatively unusual type of mutation that is infrequently seen in other types of cancer, including those caused by other carcinogens. These mutations concentrate at splice sites, causing the inappropriate inclusion or exclusion of entire exons in the resulting mRNA. The overall mutation rate is another notable feature of AA-associated cancers because it is several times higher than the rate of mutations caused by other carcinogens such as tobacco and ultraviolet light. In both studies, the authors also used the molecular signature to discover that AA was a likely cause of tumors previously attributed to other carcinogens. In one case, a urinary tract cancer that had been attributed to smoking and, in the other case, a liver cancer previously attributed to a chronic hepatitis infection were both identified as having the telltale signature of AA mutagenesis.\n            The identification of a specific molecular signature for AA has both clinical and public health implications. For individual patients, the molecular signature could help physicians identify which tumors were caused by AA. Although this information cannot yet be used to optimize the treatment of individual patients, those who are diagnosed with AA-associated cancers could be monitored more closely for the appearance of additional tumors. Meanwhile, a better understanding of the mutagenic effects of AA should also help to strengthen public health efforts to decrease exposure to this carcinogenic herb.\n          , \n            \n              Aristolochic acid (AA), a natural product of\n              Aristolochia\n              plants found in herbal remedies and health supplements, is a group 1 carcinogen that can cause nephrotoxicity and upper urinary tract urothelial cell carcinoma (UTUC). Whole-genome and exome analysis of nine AA-associated UTUCs revealed a strikingly high somatic mutation rate (150 mutations/Mb), exceeding smoking-associated lung cancer (8 mutations/Mb) and ultraviolet radiation–associated melanoma (111 mutations/Mb). The AA-UTUC mutational signature was characterized by A:T to T:A transversions at the sequence motif A[C|T]\n              A\n              GG, located primarily on nontranscribed strands. AA-induced mutations were also significantly enriched at splice sites, suggesting a role for splice-site mutations in UTUC pathogenesis. RNA sequencing of AA-UTUC confirmed a general up-regulation of nonsense-mediated decay machinery components and aberrant splicing events associated with splice-site mutations. We observed a high frequency of somatic mutations in chromatin modifiers, particularly\n              KDM6A\n              , in AA-UTUC, demonstrated the sufficiency of AA to induce renal dysplasia in mice, and reproduced the AA mutational signature in experimentally treated human renal tubular cells. Finally, exploring other malignancies that were not known to be associated with AA, we screened 93 hepatocellular carcinoma genomes/exomes and identified AA-like mutational signatures in 11. Our study highlights an unusual genome-wide AA mutational signature and the potential use of mutation signatures as “molecular fingerprints” for interrogating high-throughput cancer genome data to infer previous carcinogen exposures.","container-title":"Science Translational Medicine","DOI":"10.1126/scitranslmed.3006086","ISSN":"1946-6234, 1946-6242","issue":"197","journalAbbreviation":"Sci. Transl. Med.","language":"en","source":"DOI.org (Crossref)","title":"Genome-Wide Mutational Signatures of Aristolochic Acid and Its Application as a Screening Tool","URL":"https://www.science.org/doi/10.1126/scitranslmed.3006086","volume":"5","author":[{"family":"Poon","given":"Song Ling"},{"family":"Pang","given":"See-Tong"},{"family":"McPherson","given":"John R."},{"family":"Yu","given":"Willie"},{"family":"Huang","given":"Kie Kyon"},{"family":"Guan","given":"Peiyong"},{"family":"Weng","given":"Wen-Hui"},{"family":"Siew","given":"Ee Yan"},{"family":"Liu","given":"Yujing"},{"family":"Heng","given":"Hong Lee"},{"family":"Chong","given":"Soo Ching"},{"family":"Gan","given":"Anna"},{"family":"Tay","given":"Su Ting"},{"family":"Lim","given":"Weng Khong"},{"family":"Cutcutache","given":"Ioana"},{"family":"Huang","given":"Dachuan"},{"family":"Ler","given":"Lian Dee"},{"family":"Nairismägi","given":"Maarja-Liisa"},{"family":"Lee","given":"Ming Hui"},{"family":"Chang","given":"Ying-Hsu"},{"family":"Yu","given":"Kai-Jie"},{"family":"Chan-on","given":"Waraporn"},{"family":"Li","given":"Bin-Kui"},{"family":"Yuan","given":"Yun-Fei"},{"family":"Qian","given":"Chao-Nan"},{"family":"Ng","given":"Kwai-Fong"},{"family":"Wu","given":"Ching-Fang"},{"family":"Hsu","given":"Cheng-Lung"},{"family":"Bunte","given":"Ralph M."},{"family":"Stratton","given":"Michael R."},{"family":"Futreal","given":"P. Andrew"},{"family":"Sung","given":"Wing-Kin"},{"family":"Chuang","given":"Cheng-Keng"},{"family":"Ong","given":"Choon Kiat"},{"family":"Rozen","given":"Steven G."},{"family":"Tan","given":"Patrick"},{"family":"Teh","given":"Bin Tean"}],"accessed":{"date-parts":[["2025",4,17]]},"issued":{"date-parts":[["2013",8,7]]}}}],"schema":"https://github.com/citation-style-language/schema/raw/master/csl-citation.json"}</w:instrText>
      </w:r>
      <w:r>
        <w:rPr>
          <w:rFonts w:hint="eastAsia"/>
        </w:rPr>
      </w:r>
      <w:r>
        <w:rPr>
          <w:rFonts w:hint="eastAsia"/>
        </w:rPr>
        <w:fldChar w:fldCharType="separate"/>
      </w:r>
      <w:r>
        <w:rPr>
          <w:rFonts w:hint="eastAsia"/>
        </w:rPr>
      </w:r>
      <w:r>
        <w:rPr/>
        <w:t>(Hoang et al. 2013; Poon et al. 2013)</w:t>
      </w:r>
      <w:r>
        <w:rPr>
          <w:rFonts w:hint="eastAsia"/>
        </w:rPr>
      </w:r>
      <w:r>
        <w:rPr>
          <w:rFonts w:hint="eastAsia"/>
        </w:rPr>
        <w:fldChar w:fldCharType="end"/>
      </w:r>
      <w:r>
        <w:rPr>
          <w:rFonts w:hint="eastAsia"/>
        </w:rPr>
        <w:t>.</w:t>
      </w:r>
      <w:r>
        <w:rPr/>
        <w:t xml:space="preserve"> Subsequent analysis revealed that this signature was also present in bladder, kidney, and liver cancers</w:t>
      </w:r>
      <w:r>
        <w:rPr>
          <w:rFonts w:hint="eastAsia"/>
        </w:rPr>
        <w:t xml:space="preserve"> </w:t>
      </w:r>
      <w:r>
        <w:fldChar w:fldCharType="begin"/>
      </w:r>
      <w:r>
        <w:rPr>
          <w:rFonts w:hint="eastAsia"/>
        </w:rPr>
        <w:instrText xml:space="preserve">ADDIN ZOTERO_ITEM CSL_CITATION {"citationID":"m8DfwMxt","properties":{"formattedCitation":"(Ng et al. 2017; Poon et al. 2015)","plainCitation":"(Ng et al. 2017; Poon et al. 2015)","noteIndex":0},"citationItems":[{"id":"LB8OR9DJ/9YXwA8Yu","uris":["http://zotero.org/users/14858941/items/MRBGYGMA"],"itemData":{"id":703,"type":"article-journal","abstract":"Many traditional pharmacopeias include Aristolochia and related plants, which contain nephrotoxins and mutagens in the form of aristolochic acids and similar compounds (collectively, AA). AA is implicated in multiple cancer types, sometimes with very high mutational burdens, especially in upper tract urothelial cancers (UTUCs). AA-associated kidney failure and UTUCs are prevalent in Taiwan, but AA's role in hepatocellular carcinomas (HCCs) there remains unexplored. Therefore, we sequenced the whole exomes of 98 HCCs from two hospitals in Taiwan and found that 78% showed the distinctive mutational signature of AA exposure, accounting for most of the nonsilent mutations in known cancer driver genes. We then searched for the AA signature in 1400 HCCs from diverse geographic regions. Consistent with exposure through known herbal medicines, 47% of Chinese HCCs showed the signature, albeit with lower mutation loads than in Taiwan. In addition, 29% of HCCs from Southeast Asia showed the signature. The AA signature was also detected in 13 and 2.7% of HCCs from Korea and Japan as well as in 4.8 and 1.7% of HCCs from North America and Europe, respectively, excluding one U.S. hospital where 22% of 87 \"Asian\" HCCs had the signature. Thus, AA exposure is geographically widespread. Asia, especially Taiwan, appears to be much more extensively affected, which is consistent with other evidence of patterns of AA exposure. We propose that additional measures aimed at primary prevention through avoidance of AA exposure and investigation of possible approaches to secondary prevention are warranted.","title":"Aristolochic acids and their derivatives are widely implicated in liver cancers in Taiwan and throughout Asia","URL":"https://www.science.org","author":[{"family":"Ng","given":"Alvin W T"},{"family":"Poon","given":"Song Ling"},{"family":"Huang","given":"Mi Ni"},{"family":"Lim","given":"Jing Quan"},{"family":"Boot","given":"Arnoud"},{"family":"Yu","given":"Willie"},{"family":"Suzuki","given":"Yuka"},{"family":"Thangaraju","given":"Saranya"},{"family":"Ng","given":"Cedric C Y"},{"family":"Tan","given":"Patrick"},{"family":"Pang","given":"See-Tong"},{"family":"Huang","given":"Hao-Yi"},{"family":"Yu","given":"Ming-Chin"},{"family":"Lee","given":"Po-Huang"},{"family":"Hsieh","given":"Sen-Yung"},{"family":"Chang","given":"Alex Y"},{"family":"Bin","given":"†"},{"family":"Teh","given":"T"},{"family":"Steven","given":"†"},{"family":"Rozen","given":"G"}],"issued":{"date-parts":[["2017"]]}}},{"id":"LB8OR9DJ/eojxHO4M","uris":["http://zotero.org/users/14858941/items/UIWWU7GW"],"itemData":{"id":893,"type":"article-journal","abstract":"Background: Aristolochic acid (AA) is a natural compound found in many plants of the Aristolochia genus, and these plants are widely used in traditional medicines for numerous conditions and for weight loss. Previous work has connected AA-mutagenesis to upper-tract urothelial cell carcinomas and hepatocellular carcinomas. We hypothesize that AA may also contribute to bladder cancer.\nMethods: Here, we investigated the involvement of AA-mutagenesis in bladder cancer by sequencing bladder tumor genomes from two patients with known exposure to AA. After detecting strong mutational signatures of AA exposure in these tumors, we exome-sequenced and analyzed an additional 11 bladder tumors and analyzed publicly available somatic mutation data from a further 336 bladder tumors.\nResults: The somatic mutations in the bladder tumors from the two patients with known AA exposure showed overwhelming AA signatures. We also detected evidence of AA exposure in 1 out of 11 bladder tumors from Singapore and in 3 out of 99 bladder tumors from China. In addition, 1 out of 194 bladder tumors from North America showed a pattern of mutations that might have resulted from exposure to an unknown mutagen with a heretofore undescribed pattern of A &gt; T mutations. Besides the signature of AA exposure, the bladder tumors also showed the CpG &gt; TpG and activated-APOBEC signatures, which have been previously reported in bladder cancer.\nConclusions: This study demonstrates the utility of inferring mutagenic exposures from somatic mutation spectra. Moreover, AA exposure in bladder cancer appears to be more pervasive in the East, where traditional herbal medicine is more widely used. More broadly, our results suggest that AA exposure is more extensive than previously thought both in terms of populations at risk and in terms of types of cancers involved. This appears to be an important public health issue that should be addressed by further investigation and by primary prevention through regulation and education. In addition to opportunities for primary prevention, knowledge of AA exposure would provide opportunities for secondary prevention in the form of intensified screening of patients with known or suspected AA exposure.","container-title":"Genome Medicine","DOI":"10.1186/s13073-015-0161-3","ISSN":"1756-994X","issue":"1","journalAbbreviation":"Genome Med","language":"en","page":"38","source":"DOI.org (Crossref)","title":"Mutation signatures implicate aristolochic acid in bladder cancer development","volume":"7","author":[{"family":"Poon","given":"Song Ling"},{"family":"Huang","given":"Mi Ni"},{"family":"Choo","given":"Yang"},{"family":"McPherson","given":"John R"},{"family":"Yu","given":"Willie"},{"family":"Heng","given":"Hong Lee"},{"family":"Gan","given":"Anna"},{"family":"Myint","given":"Swe Swe"},{"family":"Siew","given":"Ee Yan"},{"family":"Ler","given":"Lian Dee"},{"family":"Ng","given":"Lay Guat"},{"family":"Weng","given":"Wen-Hui"},{"family":"Chuang","given":"Cheng-Keng"},{"family":"Yuen","given":"John Sp"},{"family":"Pang","given":"See-Tong"},{"family":"Tan","given":"Patrick"},{"family":"Teh","given":"Bin Tean"},{"family":"Rozen","given":"Steven G"}],"issued":{"date-parts":[["2015",4,28]]}}}],"schema":"https://github.com/citation-style-language/schema/raw/master/csl-citation.json"}</w:instrText>
      </w:r>
      <w:r>
        <w:rPr>
          <w:rFonts w:hint="eastAsia"/>
        </w:rPr>
      </w:r>
      <w:r>
        <w:rPr>
          <w:rFonts w:hint="eastAsia"/>
        </w:rPr>
        <w:fldChar w:fldCharType="separate"/>
      </w:r>
      <w:r>
        <w:rPr>
          <w:rFonts w:hint="eastAsia"/>
        </w:rPr>
      </w:r>
      <w:r>
        <w:rPr/>
        <w:t>(Ng et al. 2017; Poon et al. 2015)</w:t>
      </w:r>
      <w:r>
        <w:rPr>
          <w:rFonts w:hint="eastAsia"/>
        </w:rPr>
      </w:r>
      <w:r>
        <w:rPr>
          <w:rFonts w:hint="eastAsia"/>
        </w:rPr>
        <w:fldChar w:fldCharType="end"/>
      </w:r>
      <w:r>
        <w:rPr/>
        <w:t xml:space="preserve">. </w:t>
      </w:r>
      <w:r>
        <w:rPr>
          <w:rFonts w:hint="eastAsia"/>
        </w:rPr>
        <w:t xml:space="preserve">More recently, </w:t>
      </w:r>
      <w:r>
        <w:rPr/>
        <w:t xml:space="preserve">data mining of </w:t>
      </w:r>
      <w:r>
        <w:rPr>
          <w:rFonts w:hint="eastAsia"/>
        </w:rPr>
        <w:t xml:space="preserve">Chinese </w:t>
      </w:r>
      <w:r>
        <w:rPr/>
        <w:t>liver cancer genom</w:t>
      </w:r>
      <w:r>
        <w:rPr>
          <w:rFonts w:hint="eastAsia"/>
        </w:rPr>
        <w:t>es</w:t>
      </w:r>
      <w:r>
        <w:rPr/>
        <w:t xml:space="preserve"> and experiments in cell culture showed that AA also generates double-base-substitution (DBS) signatures and, relevant to the current study, small insertion-and-deletion (indel) signatures (Figure 1)</w:t>
      </w:r>
      <w:r>
        <w:rPr>
          <w:rFonts w:hint="eastAsia"/>
        </w:rPr>
        <w:t xml:space="preserve"> </w:t>
      </w:r>
      <w:r>
        <w:fldChar w:fldCharType="begin"/>
      </w:r>
      <w:r>
        <w:rPr>
          <w:rFonts w:hint="eastAsia"/>
        </w:rPr>
        <w:instrText xml:space="preserve">ADDIN ZOTERO_ITEM CSL_CITATION {"citationID":"a0qeHwl0","properties":{"formattedCitation":"(Chen et al. 2024)","plainCitation":"(Chen et al. 2024)","noteIndex":0},"citationItems":[{"id":"LB8OR9DJ/ntnLGUnM","uris":["http://zotero.org/users/14858941/items/U9IWAMHL"],"itemData":{"id":630,"type":"article-journal","abstract":"Over half of hepatocellular carcinoma (HCC) cases diagnosed worldwide are in China1–3. However, whole-genome analysis of hepatitis B virus (HBV)-associated HCC in Chinese individuals is limited4–8, with current analyses of HCC mainly from non-HBV-enriched populations9,10. Here we initiated the Chinese Liver Cancer Atlas (CLCA) project and performed deep whole-genome sequencing (average depth, 120×) of 494 HCC tumours. We identified 6 coding and 28 non-coding previously undescribed driver candidates. Five previously undescribed mutational signatures were found, including aristolochic-acid-associated indel and doublet base signatures, and a single-base-substitution signature that we termed SBS_H8. Pentanucleotide context analysis and experimental validation confirmed that SBS_H8 was distinct to the aristolochic-acid-associated SBS22. Notably, HBV integrations could take the form of extrachromosomal circular DNA, resulting in elevated copy numbers and gene expression. Our high-depth data also enabled us to characterize subclonal clustered alterations, including chromothripsis, chromoplexy and kataegis, suggesting that these catastrophic events could also occur in late stages of hepatocarcinogenesis. Pathway analysis of all classes of alterations further linked non-coding mutations to dysregulation of liver metabolism. Finally, we performed in vitro and in vivo assays to show that fibrinogen alpha chain (FGA), determined as both a candidate coding and non-coding driver, regulates HCC progression and metastasis. Our CLCA study depicts a detailed genomic landscape and evolutionary history of HCC in Chinese individuals, providing important clinical implications.","container-title":"Nature","DOI":"10.1038/s41586-024-07054-3","ISSN":"14764687","language":"en-US","note":"publisher: Nature Research","title":"Deep whole-genome analysis of 494 hepatocellular carcinomas","author":[{"family":"Chen","given":"Lei"},{"family":"Zhang","given":"Chong"},{"family":"Xue","given":"Ruidong"},{"family":"Liu","given":"Mo"},{"family":"Bai","given":"Jian"},{"family":"Bao","given":"Jinxia"},{"family":"Wang","given":"Yin"},{"family":"Jiang","given":"Nanhai"},{"family":"Li","given":"Zhixuan"},{"family":"Wang","given":"Wenwen"},{"family":"Wang","given":"Ruiru"},{"family":"Zheng","given":"Bo"},{"family":"Yang","given":"Airong"},{"family":"Hu","given":"Ji"},{"family":"Liu","given":"Ke"},{"family":"Shen","given":"Siyun"},{"family":"Zhang","given":"Yangqianwen"},{"family":"Bai","given":"Mixue"},{"family":"Wang","given":"Yan"},{"family":"Zhu","given":"Yanjing"},{"family":"Yang","given":"Shuai"},{"family":"Gao","given":"Qiang"},{"family":"Gu","given":"Jin"},{"family":"Gao","given":"Dong"},{"family":"Wang","given":"Xin Wei"},{"family":"Nakagawa","given":"Hidewaki"},{"family":"Zhang","given":"Ning"},{"family":"Wu","given":"Lin"},{"family":"Rozen","given":"Steven G."},{"family":"Bai","given":"Fan"},{"family":"Wang","given":"Hongyang"}],"issued":{"date-parts":[["2024",3,21]]}}}],"schema":"https://github.com/citation-style-language/schema/raw/master/csl-citation.json"}</w:instrText>
      </w:r>
      <w:r>
        <w:rPr>
          <w:rFonts w:hint="eastAsia"/>
        </w:rPr>
      </w:r>
      <w:r>
        <w:rPr>
          <w:rFonts w:hint="eastAsia"/>
        </w:rPr>
        <w:fldChar w:fldCharType="separate"/>
      </w:r>
      <w:r>
        <w:rPr>
          <w:rFonts w:hint="eastAsia"/>
        </w:rPr>
      </w:r>
      <w:r>
        <w:rPr/>
        <w:t>(Chen et al. 2024)</w:t>
      </w:r>
      <w:r>
        <w:rPr>
          <w:rFonts w:hint="eastAsia"/>
        </w:rPr>
      </w:r>
      <w:r>
        <w:rPr>
          <w:rFonts w:hint="eastAsia"/>
        </w:rPr>
        <w:fldChar w:fldCharType="end"/>
      </w:r>
      <w:r>
        <w:rPr>
          <w:rFonts w:hint="eastAsia"/>
        </w:rPr>
        <w:t>.</w:t>
      </w:r>
    </w:p>
    <w:p>
      <w:pPr>
        <w:pStyle w:val="Normal"/>
        <w:rPr/>
      </w:pPr>
      <w:r>
        <w:rPr/>
        <w:t xml:space="preserve">Although mutational-signature research has tended to neglect indels compared to SBSs, indel signatures also yield important information for cancer classification, epidemiology, and treatment and for understanding DNA repair and mutagenic mechanisms. Examples include identification of tumors with homologous recombination deficiency </w:t>
      </w:r>
      <w:r>
        <w:fldChar w:fldCharType="begin"/>
      </w:r>
      <w:r>
        <w:rPr/>
        <w:instrText xml:space="preserve">ADDIN ZOTERO_ITEM CSL_CITATION {"citationID":"chja2ELk","properties":{"formattedCitation":"(Davies et al. 2017)","plainCitation":"(Davies et al. 2017)","noteIndex":0},"citationItems":[{"id":"LB8OR9DJ/tgI39TZW","uris":["http://zotero.org/users/14858941/items/FX3CFPG5"],"itemData":{"id":713,"type":"article-journal","abstract":"Approximately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R."},{"family":"Nik-Zainal","given":"Serena"}],"issued":{"date-parts":[["2017",4,1]]}}}],"schema":"https://github.com/citation-style-language/schema/raw/master/csl-citation.json"}</w:instrText>
      </w:r>
      <w:r>
        <w:rPr/>
      </w:r>
      <w:r>
        <w:rPr/>
        <w:fldChar w:fldCharType="separate"/>
      </w:r>
      <w:r>
        <w:rPr/>
        <w:t>(Davies et al. 2017)</w:t>
      </w:r>
      <w:r>
        <w:rPr/>
      </w:r>
      <w:r>
        <w:rPr/>
        <w:fldChar w:fldCharType="end"/>
      </w:r>
      <w:r>
        <w:rPr/>
        <w:t xml:space="preserve">, subclassification of different types of mismatch repair deficiency </w:t>
      </w:r>
      <w:r>
        <w:rPr>
          <w:shd w:fill="00FFFF" w:val="clear"/>
        </w:rPr>
        <w:t>&lt;Not sure of this – Koh did or did not subclassify MSI?&gt;</w:t>
      </w:r>
      <w:r>
        <w:rPr/>
        <w:t xml:space="preserve"> and a rare indel hypermutator phenotype due to a mutation in topoisomerase 2 alpha </w:t>
      </w:r>
      <w:r>
        <w:fldChar w:fldCharType="begin"/>
      </w:r>
      <w:r>
        <w:rPr/>
        <w:instrText xml:space="preserve">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
      <w:r>
        <w:rPr/>
        <w:fldChar w:fldCharType="separate"/>
      </w:r>
      <w:r>
        <w:rPr/>
      </w:r>
      <w:r>
        <w:rPr>
          <w:rStyle w:val="normalfirstChar"/>
        </w:rPr>
        <w:t>(Boot et al. 2022)</w:t>
      </w:r>
      <w:r>
        <w:rPr/>
      </w:r>
      <w:r>
        <w:rPr/>
        <w:fldChar w:fldCharType="end"/>
      </w:r>
      <w:r>
        <w:rPr>
          <w:rStyle w:val="normalfirstChar"/>
        </w:rPr>
        <w:t xml:space="preserve">. </w:t>
      </w:r>
      <w:r>
        <w:rPr>
          <w:shd w:fill="auto" w:val="clear"/>
        </w:rPr>
        <w:t xml:space="preserve">Despite their importance, indel signatures have received less attention than SBS signatures, </w:t>
      </w:r>
      <w:r>
        <w:rPr>
          <w:shd w:fill="auto" w:val="clear"/>
        </w:rPr>
        <w:t>and</w:t>
      </w:r>
      <w:r>
        <w:rPr>
          <w:shd w:fill="auto" w:val="clear"/>
        </w:rPr>
        <w:t xml:space="preserve"> COSMIC v3.</w:t>
      </w:r>
      <w:r>
        <w:rPr>
          <w:shd w:fill="auto" w:val="clear"/>
        </w:rPr>
        <w:t>5 catalogs</w:t>
      </w:r>
      <w:r>
        <w:rPr>
          <w:shd w:fill="auto" w:val="clear"/>
        </w:rPr>
        <w:t xml:space="preserve"> </w:t>
      </w:r>
      <w:r>
        <w:rPr>
          <w:shd w:fill="auto" w:val="clear"/>
        </w:rPr>
        <w:t xml:space="preserve">25 indel signatures compared to </w:t>
      </w:r>
      <w:r>
        <w:rPr>
          <w:shd w:fill="auto" w:val="clear"/>
        </w:rPr>
        <w:t>78</w:t>
      </w:r>
      <w:r>
        <w:rPr>
          <w:shd w:fill="auto" w:val="clear"/>
        </w:rPr>
        <w:t xml:space="preserve"> SBS signatures. </w:t>
      </w:r>
    </w:p>
    <w:p>
      <w:pPr>
        <w:pStyle w:val="Normal"/>
        <w:rPr>
          <w:shd w:fill="FFFF00" w:val="clear"/>
        </w:rPr>
      </w:pPr>
      <w:r>
        <w:rPr>
          <w:shd w:fill="FFFF00" w:val="clear"/>
        </w:rPr>
        <w:t xml:space="preserve">&lt;check Koh et all counts </w:t>
      </w:r>
      <w:r>
        <w:rPr>
          <w:shd w:fill="FFFF00" w:val="clear"/>
        </w:rPr>
        <w:t xml:space="preserve">for indels: 5 * 7 + 2 = 32 including 4 artifacts&gt; </w:t>
      </w:r>
    </w:p>
    <w:p>
      <w:pPr>
        <w:pStyle w:val="Normal"/>
        <w:rPr>
          <w:shd w:fill="FFFF00" w:val="clear"/>
        </w:rPr>
      </w:pPr>
      <w:r>
        <w:rPr>
          <w:shd w:fill="FFFF00" w:val="clear"/>
        </w:rPr>
        <w:t>&lt; cosmic SBS: 3 columns| sbs3 to sbs20 9 | sbs22b to sbs42 8 | sbs85 to sbs110 9 &gt;</w:t>
      </w:r>
    </w:p>
    <w:p>
      <w:pPr>
        <w:pStyle w:val="Normal"/>
        <w:rPr>
          <w:shd w:fill="FFFF00" w:val="clear"/>
        </w:rPr>
      </w:pPr>
      <w:r>
        <w:rPr>
          <w:shd w:fill="FFFF00" w:val="clear"/>
        </w:rPr>
        <w:t>&lt;how many indel signatures do we classify?&gt; by]\</w:t>
      </w:r>
    </w:p>
    <w:p>
      <w:pPr>
        <w:pStyle w:val="Normal"/>
        <w:rPr>
          <w:shd w:fill="FFFF00" w:val="clear"/>
        </w:rPr>
      </w:pPr>
      <w:r>
        <w:rPr>
          <w:shd w:fill="FFFF00" w:val="clear"/>
        </w:rPr>
        <w:t>=</w:t>
      </w:r>
    </w:p>
    <w:p>
      <w:pPr>
        <w:pStyle w:val="Normal"/>
        <w:rPr/>
      </w:pPr>
      <w:r>
        <w:rPr/>
        <w:t xml:space="preserve">There are two main systems for classifying indel mutations. The established system, termed “COSMIC83” here, classifies indels into 83 types and appears in </w:t>
      </w:r>
      <w:r>
        <w:fldChar w:fldCharType="begin"/>
      </w:r>
      <w:r>
        <w:rPr/>
        <w:instrText xml:space="preserve">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rPr/>
      </w:r>
      <w:r>
        <w:rPr/>
        <w:fldChar w:fldCharType="separate"/>
      </w:r>
      <w:r>
        <w:rPr/>
        <w:t>Alexandrov et al. 2020</w:t>
      </w:r>
      <w:r>
        <w:rPr/>
      </w:r>
      <w:r>
        <w:rPr/>
        <w:fldChar w:fldCharType="end"/>
      </w:r>
      <w:r>
        <w:rPr/>
        <w:t xml:space="preserve"> and on the COSMIC web site (https://cancer.sanger.ac.uk/signatures/id/, </w:t>
      </w:r>
      <w:hyperlink r:id="rId3">
        <w:r>
          <w:rPr>
            <w:rStyle w:val="Hyperlink"/>
          </w:rPr>
          <w:t>https://cancer.sanger.ac.uk/signatures/documents/4/PCAWG7_indel_classification_2021_08_31.xlsx</w:t>
        </w:r>
      </w:hyperlink>
      <w:r>
        <w:rPr/>
        <w:t xml:space="preserve">, Figure 1A). The other system, “Koh89”, classifies indels into 89 types </w:t>
      </w:r>
      <w:r>
        <w:fldChar w:fldCharType="begin"/>
      </w:r>
      <w:r>
        <w:rPr/>
        <w:instrText xml:space="preserve">ADDIN ZOTERO_ITEM CSL_CITATION {"citationID":"kySsPJMK","properties":{"formattedCitation":"(Koh et al. 2025)","plainCitation":"(Koh et al. 2025)","noteIndex":0},"citationItems":[{"id":"LB8OR9DJ/700SJbQ9","uris":["http://zotero.org/users/14858941/items/TMR7S8H6"],"itemData":{"id":899,"type":"article-journal","abstract":"Abstract\n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Ruth"},{"family":"Zou","given":"Xueqing"},{"family":"Nik-Zainal","given":"Serena"}],"accessed":{"date-parts":[["2025",5,14]]},"issued":{"date-parts":[["2025",4,10]]}}}],"schema":"https://github.com/citation-style-language/schema/raw/master/csl-citation.json"}</w:instrText>
      </w:r>
      <w:r>
        <w:rPr/>
      </w:r>
      <w:r>
        <w:rPr/>
        <w:fldChar w:fldCharType="separate"/>
      </w:r>
      <w:r>
        <w:rPr/>
        <w:t>(Koh et al. 2025)</w:t>
      </w:r>
      <w:r>
        <w:rPr/>
      </w:r>
      <w:r>
        <w:rPr/>
        <w:fldChar w:fldCharType="end"/>
      </w:r>
      <w:r>
        <w:rPr/>
        <w:t xml:space="preserve">(Figure 1B). </w:t>
      </w:r>
    </w:p>
    <w:p>
      <w:pPr>
        <w:pStyle w:val="Normal"/>
        <w:rPr/>
      </w:pPr>
      <w:r>
        <w:rPr/>
        <w:t xml:space="preserve">The </w:t>
      </w:r>
      <w:r>
        <w:rPr>
          <w:rFonts w:hint="eastAsia"/>
        </w:rPr>
        <w:t>COSMI</w:t>
      </w:r>
      <w:r>
        <w:rPr/>
        <w:t>C83 classification system primarily categorizes indels based on the number of bases inserted or deleted, and for single-base insertions and deletions the identity of the deleted or inserted base (conventionally shown as pyrimidines, C or 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rPr/>
        <w:t>(i.e. microsatellites, simple tandem repeats). For</w:t>
      </w:r>
      <w:r>
        <w:rPr>
          <w:rFonts w:hint="eastAsia"/>
        </w:rPr>
        <w:t xml:space="preserve"> deletions</w:t>
      </w:r>
      <w:r>
        <w:rPr/>
        <w:t xml:space="preserve"> of</w:t>
      </w:r>
      <w:r>
        <w:rPr>
          <w:rFonts w:hint="eastAsia"/>
        </w:rPr>
        <w:t xml:space="preserve"> ≥2 </w:t>
      </w:r>
      <w:r>
        <w:rPr/>
        <w:t>bases</w:t>
      </w:r>
      <w:r>
        <w:rPr>
          <w:rFonts w:hint="eastAsia"/>
        </w:rPr>
        <w:t xml:space="preserve"> </w:t>
      </w:r>
      <w:r>
        <w:rPr/>
        <w:t xml:space="preserve">that are outside of </w:t>
      </w:r>
      <w:r>
        <w:rPr>
          <w:rFonts w:hint="eastAsia"/>
        </w:rPr>
        <w:t xml:space="preserve">repetitive </w:t>
      </w:r>
      <w:r>
        <w:rPr/>
        <w:t>sequences, the COSMIC83 system incorporates</w:t>
      </w:r>
      <w:r>
        <w:rPr>
          <w:rFonts w:hint="eastAsia"/>
        </w:rPr>
        <w:t xml:space="preserve"> the presence of microhomology</w:t>
      </w:r>
      <w:r>
        <w:rPr/>
        <w:t xml:space="preserve">. </w:t>
      </w:r>
      <w:r>
        <w:rPr>
          <w:shd w:fill="FFFF00" w:val="clear"/>
        </w:rPr>
        <w:t>&lt;double check that microsatellite trumps mh; check koh89 too&gt;</w:t>
      </w:r>
      <w:r>
        <w:rPr/>
        <w:t xml:space="preserve"> Microhomology is </w:t>
      </w:r>
      <w:r>
        <w:rPr>
          <w:rFonts w:hint="eastAsia"/>
        </w:rPr>
        <w:t xml:space="preserve">a hallmark of non-DNA repair by homologous end-joining, </w:t>
      </w:r>
      <w:r>
        <w:rPr/>
        <w:t>an error-prone mechanism that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 → A</w:t>
      </w:r>
      <w:r>
        <w:rPr>
          <w:b/>
          <w:bCs/>
        </w:rPr>
        <w:t>CA</w:t>
      </w:r>
      <w:r>
        <w:rPr>
          <w:rFonts w:hint="eastAsia"/>
        </w:rPr>
        <w:t>GG) exhibits a 2-b</w:t>
      </w:r>
      <w:r>
        <w:rPr/>
        <w:t>ase</w:t>
      </w:r>
      <w:r>
        <w:rPr>
          <w:rFonts w:hint="eastAsia"/>
        </w:rPr>
        <w:t xml:space="preserve"> microhomology (CA)</w:t>
      </w:r>
      <w:r>
        <w:rPr/>
        <w:t xml:space="preserve">. </w:t>
      </w:r>
    </w:p>
    <w:p>
      <w:pPr>
        <w:pStyle w:val="Normal"/>
        <w:rPr/>
      </w:pPr>
      <w:r>
        <w:rPr/>
        <w:t>Koh et al., &lt;reference&gt; showed that for indels of a single T or C, making distinctions based on the non-T (respectively, the non-C) flaking bases substantially improves resolution of signatures involving single-base indels. For example, the Koh89 classification distinguishes between deletions of a T in which the preceding base is A, C, or G (in Figure 1B, signature InsDel23). Thus, deletions of ATA&gt;AA or ATTA&gt;ATA are distinguished from deletions of CTA&gt;CA or CTTA&gt;CTA, distinctions in the identity of the flanking base (in the example, A and C) that the COSMIC83 classification does not capture. At the same time, however, for deletions of a single T, the Koh89 classification groups together deletions of a single T in isolation along with deletions of a single T from repeats of 2 to 4 Ts, a distinction that COSMIC83 makes (Figure 1B versus Figure 1C). Furthermore, the Koh89 distinguish</w:t>
      </w:r>
      <w:r>
        <w:rPr>
          <w:shd w:fill="auto" w:val="clear"/>
        </w:rPr>
        <w:t xml:space="preserve">es 19 simple indel types of </w:t>
      </w:r>
      <w:r>
        <w:rPr>
          <w:rFonts w:eastAsia="Liberation Serif" w:cs="Liberation Serif" w:ascii="Liberation Serif" w:hAnsi="Liberation Serif"/>
          <w:shd w:fill="auto" w:val="clear"/>
        </w:rPr>
        <w:t>≥</w:t>
      </w:r>
      <w:r>
        <w:rPr>
          <w:shd w:fill="auto" w:val="clear"/>
        </w:rPr>
        <w:t xml:space="preserve"> 2 b</w:t>
      </w:r>
      <w:r>
        <w:rPr/>
        <w:t>ases, compared</w:t>
      </w:r>
      <w:r>
        <w:rPr>
          <w:shd w:fill="auto" w:val="clear"/>
        </w:rPr>
        <w:t xml:space="preserve"> to 59 types</w:t>
      </w:r>
      <w:r>
        <w:rPr/>
        <w:t xml:space="preserve"> distinguished by the COSMIC83 classification. </w:t>
      </w:r>
    </w:p>
    <w:p>
      <w:pPr>
        <w:pStyle w:val="Normal"/>
        <w:rPr/>
      </w:pPr>
      <w:r>
        <w:rPr/>
        <w:t xml:space="preserve">Koh et al. also offered a classification scheme based on 476 types of indels </w:t>
      </w:r>
      <w:r>
        <w:rPr>
          <w:shd w:fill="FFFF00" w:val="clear"/>
        </w:rPr>
        <w:t>&lt;did we or they do extraction on this scheme?&gt;.</w:t>
      </w:r>
      <w:r>
        <w:rPr/>
        <w:t xml:space="preserve">  However, this classification scheme </w:t>
      </w:r>
      <w:r>
        <w:rPr/>
        <w:t xml:space="preserve">cannot be used </w:t>
      </w:r>
      <w:r>
        <w:rPr/>
        <w:t xml:space="preserve">to translate between </w:t>
      </w:r>
      <w:r>
        <w:rPr/>
        <w:t>indel types</w:t>
      </w:r>
      <w:r>
        <w:rPr/>
        <w:t xml:space="preserve"> in the COSMIC83 and Koh89 classification</w:t>
      </w:r>
      <w:r>
        <w:rPr/>
        <w:t>s</w:t>
      </w:r>
      <w:r>
        <w:rPr/>
        <w:t xml:space="preserve"> </w:t>
      </w:r>
      <w:r>
        <w:rPr/>
        <w:t>(Table SX</w:t>
      </w:r>
      <w:r>
        <w:rPr>
          <w:shd w:fill="FFFF00" w:val="clear"/>
        </w:rPr>
        <w:t xml:space="preserve"> – from supinfo/multimap_to_8*.csv</w:t>
      </w:r>
      <w:r>
        <w:rPr/>
        <w:t>)</w:t>
      </w:r>
      <w:r>
        <w:rPr/>
        <w:t>.</w:t>
      </w:r>
    </w:p>
    <w:p>
      <w:pPr>
        <w:pStyle w:val="Normal"/>
        <w:rPr/>
      </w:pPr>
      <w:r>
        <w:rPr/>
        <w:t>The single base deletions associated with AA provide an example of the advantages of each of the two indel classification systems. In the COSMIC83 system, the AA signature shows that the most common deletion of a single T occurs as V1TV2 &gt; V1V2, where V indicates any base other than T, and V1 need not be the same as V2. This is a distinction that Koh89’s AA signature does not capture. However, the Koh89 AA signature shows that deletions of T are usually associated with a flanking A, which one might speculate is related to the adenine adducts caused by AA. These adenine adducts are also thought to be responsible for the predominance of A&gt;T single base substitutions in the AA SBS signature and of the frequent involvement of adenines in the AA DBS signatures (Figure 1C,D).</w:t>
      </w:r>
    </w:p>
    <w:p>
      <w:pPr>
        <w:pStyle w:val="ListParagraph"/>
        <w:rPr/>
      </w:pPr>
      <w:r>
        <w:rPr/>
        <w:t>Here, we analyzed somatic indels in &gt;7,000 whole genomes to create a comprehensive collection of indel mutational signatures using both the COSMIC83 and Koh89 classification schemes using approaches based on hierarchical Dirichlet processes and on non-negative matrix factorization.  To systematically compare the two signature catalogs, we developed and applied a new pipeline to match C</w:t>
      </w:r>
      <w:r>
        <w:rPr>
          <w:rFonts w:hint="eastAsia"/>
        </w:rPr>
        <w:t>OSMI</w:t>
      </w:r>
      <w:r>
        <w:rPr/>
        <w:t>C83 and K</w:t>
      </w:r>
      <w:r>
        <w:rPr>
          <w:rFonts w:hint="eastAsia"/>
        </w:rPr>
        <w:t>oh89</w:t>
      </w:r>
      <w:r>
        <w:rPr/>
        <w:t xml:space="preserve"> signatures based on tumor samples with high signature proportions</w:t>
      </w:r>
      <w:r>
        <w:rPr>
          <w:rFonts w:hint="eastAsia"/>
        </w:rPr>
        <w:t xml:space="preserve"> and cosine similarities</w:t>
      </w:r>
      <w:r>
        <w:rPr/>
        <w:t>. We further profiled the replication timing, asymmetry</w:t>
      </w:r>
      <w:r>
        <w:rPr>
          <w:rFonts w:hint="eastAsia"/>
        </w:rPr>
        <w:t xml:space="preserve"> between genic and intergenic regions and </w:t>
      </w:r>
      <w:r>
        <w:rPr/>
        <w:t>asymmetry</w:t>
      </w:r>
      <w:r>
        <w:rPr>
          <w:rFonts w:hint="eastAsia"/>
        </w:rPr>
        <w:t xml:space="preserve"> between leading and lagging </w:t>
      </w:r>
      <w:r>
        <w:rPr/>
        <w:t xml:space="preserve">replication strand of each signature, providing insights into their underlying mutational processes. </w:t>
      </w:r>
      <w:r>
        <w:rPr>
          <w:shd w:fill="FFFF00" w:val="clear"/>
        </w:rPr>
        <w:t>Together, our analyses provide an expanded and detailed landscape of both C</w:t>
      </w:r>
      <w:r>
        <w:rPr>
          <w:rFonts w:hint="eastAsia"/>
          <w:shd w:fill="FFFF00" w:val="clear"/>
        </w:rPr>
        <w:t>OSMI</w:t>
      </w:r>
      <w:r>
        <w:rPr>
          <w:shd w:fill="FFFF00" w:val="clear"/>
        </w:rPr>
        <w:t>C83 and K</w:t>
      </w:r>
      <w:r>
        <w:rPr>
          <w:rFonts w:hint="eastAsia"/>
          <w:shd w:fill="FFFF00" w:val="clear"/>
        </w:rPr>
        <w:t>oh89</w:t>
      </w:r>
      <w:r>
        <w:rPr>
          <w:shd w:fill="FFFF00" w:val="clear"/>
        </w:rPr>
        <w:t xml:space="preserve"> mutational signatures, comprehensively contributions to key cancer genes, as well as their replication timing, replication strand bias, and genic versus intergenic distributions. </w:t>
      </w:r>
    </w:p>
    <w:p>
      <w:pPr>
        <w:pStyle w:val="normalfirst"/>
        <w:rPr>
          <w:shd w:fill="FFFF00" w:val="clear"/>
        </w:rPr>
      </w:pPr>
      <w:r>
        <w:rPr>
          <w:shd w:fill="FFFF00" w:val="clear"/>
        </w:rPr>
        <w:t>Shiny web page, correlations to clinical, SBS. Mention topoisomerase 1 experiment</w:t>
      </w:r>
    </w:p>
    <w:p>
      <w:pPr>
        <w:pStyle w:val="normalfirst"/>
        <w:rPr>
          <w:shd w:fill="FFFF00" w:val="clear"/>
        </w:rPr>
      </w:pPr>
      <w:r>
        <w:rPr>
          <w:shd w:fill="FFFF00" w:val="clear"/>
        </w:rPr>
      </w:r>
    </w:p>
    <w:p>
      <w:pPr>
        <w:pStyle w:val="Heading1"/>
        <w:ind w:hanging="0" w:start="0"/>
        <w:rPr/>
      </w:pPr>
      <w:r>
        <w:rPr/>
        <w:t>Results</w:t>
      </w:r>
    </w:p>
    <w:p>
      <w:pPr>
        <w:pStyle w:val="Heading2"/>
        <w:ind w:hanging="0" w:start="0"/>
        <w:rPr/>
      </w:pPr>
      <w:r>
        <w:rPr/>
        <w:t>Repertoire of indel signatures based on de novo signature discovery</w:t>
      </w:r>
    </w:p>
    <w:p>
      <w:pPr>
        <w:pStyle w:val="normalfirst"/>
        <w:rPr/>
      </w:pPr>
      <w:r>
        <w:rPr>
          <w:shd w:fill="auto" w:val="clear"/>
        </w:rPr>
        <w:t>We extracted signatures from somatic indels spectra of 2,780 cancer genomes from (The ICGC/TCGA Pan-Cancer Analysis of Whole Genomes Consortium et al. 2020) and 3,430 cancer genomes from the Hartwig Medical Foundation (HMF) (Priestley et al. 2019) encompassing 32 cancer types  (spectra in Supplementary Tables S</w:t>
      </w:r>
      <w:r>
        <w:rPr>
          <w:rFonts w:hint="eastAsia"/>
          <w:shd w:fill="auto" w:val="clear"/>
        </w:rPr>
        <w:t>8 and S9)</w:t>
      </w:r>
      <w:r>
        <w:rPr>
          <w:shd w:fill="auto" w:val="clear"/>
        </w:rPr>
        <w:t xml:space="preserve">.  </w:t>
      </w:r>
      <w:r>
        <w:rPr>
          <w:shd w:fill="77BC65" w:val="clear"/>
        </w:rPr>
        <w:t>&lt;Note: Biliary Bladder Bone.SoftTissue Breast Cervix Colon Esophagus Head Kidney Liver Lung Lymphoid Myeloid Ovary Pancreas Prostate Skin Stomach Thymus Uterus Testis Neuroendocrine Thyroid Anus Penile Mesothelioma Vulva Nervous.system Vagina Eye Adrenal Vascular [excluded: Unknown, NULL, CNS (subsumed under nervous system, GI-tract – mostly colon, esophagus, stomach) – Double primary]</w:t>
      </w:r>
    </w:p>
    <w:p>
      <w:pPr>
        <w:pStyle w:val="normalfirst"/>
        <w:rPr>
          <w:shd w:fill="auto" w:val="clear"/>
        </w:rPr>
      </w:pPr>
      <w:r>
        <w:rPr>
          <w:shd w:fill="auto" w:val="clear"/>
        </w:rPr>
        <w:tab/>
        <w:t xml:space="preserve">We used signature discovery software based on two different algorithms. We used SigProfilerExtractor, which is based on nonnegative matrix factorization (NMF) </w:t>
      </w:r>
      <w:r>
        <w:fldChar w:fldCharType="begin"/>
      </w:r>
      <w:r>
        <w:rPr>
          <w:shd w:fill="auto" w:val="clear"/>
        </w:rPr>
        <w:instrText xml:space="preserve">ADDIN ZOTERO_ITEM CSL_CITATION {"citationID":"mC0HXKAo","properties":{"formattedCitation":"(Islam et al. 2022)","plainCitation":"(Islam et al. 2022)","noteIndex":0},"citationItems":[{"id":11503,"uris":["http://zotero.org/groups/6195561/items/L82XAQGL"],"itemData":{"id":11503,"type":"article-journal","abstract":"Mutational signature analysis is commonly performed in cancer genomic studies. Here, we present SigProfilerExtractor, an automated tool for de novo extraction of mutational signatures, and benchmark it against another 13 bioinformatics tools by using 34 scenarios encompassing 2,500 simulated signatures found in 60,000 synthetic genomes and 20,000 synthetic exomes. For simulations with 5% noise, reflecting high-quality datasets, SigProfilerExtractor outperforms other approaches by elucidating between 20% and 50% more true-positive signatures while yielding 5-fold less false-positive signatures. Applying SigProfilerExtractor to 4,643 whole-genome- and 19,184 whole-exome-sequenced cancers reveals four novel signatures. Two of the signatures are confirmed in independent cohorts, and one of these signatures is associated with tobacco smoking. In summary, this report provides a reference tool for analysis of mutational signatures, a comprehensive benchmarking of bioinformatics tools for extracting signatures, and several novel mutational signatures, including one putatively attributed to direct tobacco smoking mutagenesis in bladder tissues.","container-title":"Cell Genomics","DOI":"10.1016/j.xgen.2022.100179","ISSN":"2666979X","issue":"11","note":"publisher: Cell Press","title":"Uncovering novel mutational signatures by de novo extraction with SigProfilerExtractor","volume":"2","author":[{"family":"Islam","given":"S. M.Ashiqul"},{"family":"Díaz-Gay","given":"Marcos"},{"family":"Wu","given":"Yang"},{"family":"Barnes","given":"Mark"},{"family":"Vangara","given":"Raviteja"},{"family":"Bergstrom","given":"Erik N."},{"family":"He","given":"Yudou"},{"family":"Vella","given":"Mike"},{"family":"Wang","given":"Jingwei"},{"family":"Teague","given":"Jon W."},{"family":"Clapham","given":"Peter"},{"family":"Moody","given":"Sarah"},{"family":"Senkin","given":"Sergey"},{"family":"Li","given":"Yun Rose"},{"family":"Riva","given":"Laura"},{"family":"Zhang","given":"Tongwu"},{"family":"Gruber","given":"Andreas J."},{"family":"Steele","given":"Christopher D."},{"family":"Otlu","given":"Burçak"},{"family":"Khandekar","given":"Azhar"},{"family":"Abbasi","given":"Ammal"},{"family":"Humphreys","given":"Laura"},{"family":"Syulyukina","given":"Natalia"},{"family":"Brady","given":"Samuel W."},{"family":"Alexandrov","given":"Boian S."},{"family":"Pillay","given":"Nischalan"},{"family":"Zhang","given":"Jinghui"},{"family":"Adams","given":"David J."},{"family":"Martincorena","given":"Iñigo"},{"family":"Wedge","given":"David C."},{"family":"Landi","given":"Maria Teresa"},{"family":"Brennan","given":"Paul"},{"family":"Stratton","given":"Michael R."},{"family":"Rozen","given":"Steven G."},{"family":"Alexandrov","given":"Ludmil B."}],"issued":{"date-parts":[["2022",11,9]]}}}],"schema":"https://github.com/citation-style-language/schema/raw/master/csl-citation.json"}</w:instrText>
      </w:r>
      <w:r>
        <w:rPr>
          <w:shd w:fill="auto" w:val="clear"/>
        </w:rPr>
      </w:r>
      <w:r>
        <w:rPr>
          <w:shd w:fill="auto" w:val="clear"/>
        </w:rPr>
        <w:fldChar w:fldCharType="separate"/>
      </w:r>
      <w:r>
        <w:rPr>
          <w:shd w:fill="auto" w:val="clear"/>
        </w:rPr>
      </w:r>
      <w:r>
        <w:rPr>
          <w:shd w:fill="auto" w:val="clear"/>
        </w:rPr>
        <w:t>(Islam et al. 2022)</w:t>
      </w:r>
      <w:r>
        <w:rPr>
          <w:shd w:fill="auto" w:val="clear"/>
        </w:rPr>
      </w:r>
      <w:r>
        <w:rPr>
          <w:shd w:fill="auto" w:val="clear"/>
        </w:rPr>
        <w:fldChar w:fldCharType="end"/>
      </w:r>
      <w:r>
        <w:rPr>
          <w:shd w:fill="auto" w:val="clear"/>
        </w:rPr>
        <w:t xml:space="preserve">, and mSigHdp, which is based on hierarchical Dirichlet processes </w:t>
      </w:r>
      <w:r>
        <w:fldChar w:fldCharType="begin"/>
      </w:r>
      <w:r>
        <w:rPr>
          <w:shd w:fill="auto" w:val="clear"/>
        </w:rPr>
        <w:instrText xml:space="preserve">ADDIN ZOTERO_ITEM CSL_CITATION {"citationID":"NDB43297","properties":{"formattedCitation":"(Liu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xml:space="preserve">. Although NMF-based approaches are widely used for signature discovery, approaches based on hierarchical Dirichlet process may offer advantages. In particular, mSigHdp had better benchmarking results for indel signature discovery in synthetic data </w:t>
      </w:r>
      <w:r>
        <w:fldChar w:fldCharType="begin"/>
      </w:r>
      <w:r>
        <w:rPr>
          <w:shd w:fill="auto" w:val="clear"/>
        </w:rPr>
        <w:instrText xml:space="preserve">ADDIN ZOTERO_ITEM CSL_CITATION {"citationID":"dwAhLIGu","properties":{"formattedCitation":"(Liu et al. 2023)","plainCitation":"(Liu et al. 2023)","noteIndex":0},"citationItems":[{"id":11478,"uris":["http://zotero.org/groups/6195561/items/NQMLZAP5"],"itemData":{"id":11478,"type":"article-journal","abstract":"Mutational signatures are characteristic patterns of mutations caused by endogenous or exogenous mutational processes. These signatures can be discovered by analyzing mutations in large sets of samples––usually somatic mutations in tumor samples. Most programs for discovering mutational signatures are based on non-negative matrix factorization (NMF). Alternatively, signatures can be discovered using hierarchical Dirichlet process (HDP) mixture models, an approach that has been less explored. These models assign mutations to clusters and view each cluster as being generated from the signature of a particular mutational process. Here, we describe mSigHdp, an improved approach to using HDP mixture models to discover mutational signatures. We benchmarked mSigHdp and state-of-theart NMF-based approaches on four realistic synthetic data sets. These data sets encompassed 18 cancer types. In total, they contained 3.5 × 107 singlebase-substitution mutations representing 32 signatures and 6.1 × 106 small insertion and deletion mutations representing 13 signatures. For three of the four data sets, mSigHdp had the best positive predictive value for discovering mutational signatures, and for all four data sets, it had the best true positive rate. Its CPU usage was similar to that of the NMFbased approaches. Thus, mSigHdp is an important and practical addition to the set of tools available for discovering mutational signatures.","container-title":"NAR Genomics and Bioinformatics","DOI":"10.1093/nargab/lqad005","ISSN":"2631-9268","issue":"1","language":"en","license":"https://creativecommons.org/licenses/by/4.0/","page":"lqad005","source":"DOI.org (Crossref)","title":"mSigHdp: hierarchical Dirichlet process mixture modeling for mutational signature discovery","title-short":"mSigHdp","volume":"5","author":[{"family":"Liu","given":"Mo"},{"family":"Wu","given":"Yang"},{"family":"Jiang","given":"Nanhai"},{"family":"Boot","given":"Arnoud"},{"family":"Rozen","given":"Steven G"}],"issued":{"date-parts":[["2023",1,10]]}}}],"schema":"https://github.com/citation-style-language/schema/raw/master/csl-citation.json"}</w:instrText>
      </w:r>
      <w:r>
        <w:rPr>
          <w:shd w:fill="auto" w:val="clear"/>
        </w:rPr>
      </w:r>
      <w:r>
        <w:rPr>
          <w:shd w:fill="auto" w:val="clear"/>
        </w:rPr>
        <w:fldChar w:fldCharType="separate"/>
      </w:r>
      <w:r>
        <w:rPr>
          <w:shd w:fill="auto" w:val="clear"/>
        </w:rPr>
        <w:t>(Liu et al. 2023)</w:t>
      </w:r>
      <w:r>
        <w:rPr>
          <w:shd w:fill="auto" w:val="clear"/>
        </w:rPr>
      </w:r>
      <w:r>
        <w:rPr>
          <w:shd w:fill="auto" w:val="clear"/>
        </w:rPr>
        <w:fldChar w:fldCharType="end"/>
      </w:r>
      <w:r>
        <w:rPr>
          <w:shd w:fill="auto" w:val="clear"/>
        </w:rPr>
        <w:t>. In addition, mSigHdp infers a posterior distribution of the number of signatures present in a data set, while by contrast, NMF based approaches sometimes struggle with determining the number of signatures present</w:t>
      </w:r>
      <w:r>
        <w:rPr>
          <w:rFonts w:hint="eastAsia"/>
          <w:shd w:fill="auto" w:val="clear"/>
        </w:rPr>
        <w:t xml:space="preserve"> (more details in Discussion </w:t>
      </w:r>
      <w:r>
        <w:rPr>
          <w:rFonts w:hint="eastAsia"/>
          <w:shd w:fill="FFFF00" w:val="clear"/>
        </w:rPr>
        <w:t>&lt;check&gt;</w:t>
      </w:r>
      <w:r>
        <w:rPr>
          <w:rFonts w:hint="eastAsia"/>
          <w:shd w:fill="auto" w:val="clear"/>
        </w:rPr>
        <w:t>).</w:t>
      </w:r>
    </w:p>
    <w:p>
      <w:pPr>
        <w:pStyle w:val="normalfirst"/>
        <w:rPr/>
      </w:pPr>
      <w:r>
        <w:rPr>
          <w:shd w:fill="auto" w:val="clear"/>
        </w:rPr>
        <w:tab/>
        <w:t>We identified a comprehensive set of</w:t>
      </w:r>
      <w:r>
        <w:rPr>
          <w:shd w:fill="FFFF00" w:val="clear"/>
        </w:rPr>
        <w:t xml:space="preserve"> 33 </w:t>
      </w:r>
      <w:r>
        <w:rPr>
          <w:shd w:fill="auto" w:val="clear"/>
        </w:rPr>
        <w:t>signatures in the C</w:t>
      </w:r>
      <w:r>
        <w:rPr>
          <w:rFonts w:hint="eastAsia"/>
          <w:shd w:fill="auto" w:val="clear"/>
        </w:rPr>
        <w:t>OSMI</w:t>
      </w:r>
      <w:r>
        <w:rPr>
          <w:shd w:fill="auto" w:val="clear"/>
        </w:rPr>
        <w:t xml:space="preserve">C83 classification and </w:t>
      </w:r>
      <w:r>
        <w:rPr>
          <w:shd w:fill="FFFF00" w:val="clear"/>
        </w:rPr>
        <w:t>45</w:t>
      </w:r>
      <w:r>
        <w:rPr>
          <w:shd w:fill="auto" w:val="clear"/>
        </w:rPr>
        <w:t xml:space="preserve"> mutational signatures in the K</w:t>
      </w:r>
      <w:r>
        <w:rPr>
          <w:rFonts w:hint="eastAsia"/>
          <w:shd w:fill="auto" w:val="clear"/>
        </w:rPr>
        <w:t>oh89 classification</w:t>
      </w:r>
      <w:r>
        <w:rPr>
          <w:shd w:fill="auto" w:val="clear"/>
        </w:rPr>
        <w:t xml:space="preserve">.  Among the signatures in the COSMIC83 classification </w:t>
      </w:r>
      <w:r>
        <w:rPr>
          <w:shd w:fill="FFFF00" w:val="clear"/>
        </w:rPr>
        <w:t>15</w:t>
      </w:r>
      <w:r>
        <w:rPr>
          <w:shd w:fill="auto" w:val="clear"/>
        </w:rPr>
        <w:t xml:space="preserve"> were novel, and we re-identified 18 of the 25 COSMIC reference signatures (Figure 2 and Table S???; this table should also show similarity to cosmic sig or better yet there should be a figure and info on the web page)</w:t>
      </w:r>
    </w:p>
    <w:p>
      <w:pPr>
        <w:pStyle w:val="normalfirst"/>
        <w:numPr>
          <w:ilvl w:val="0"/>
          <w:numId w:val="3"/>
        </w:numPr>
        <w:spacing w:lineRule="auto" w:line="240"/>
        <w:rPr>
          <w:b/>
          <w:bCs/>
          <w:sz w:val="18"/>
          <w:szCs w:val="18"/>
          <w:highlight w:val="none"/>
          <w:shd w:fill="D4EA6B" w:val="clear"/>
        </w:rPr>
      </w:pPr>
      <w:r>
        <w:rPr>
          <w:b/>
          <w:bCs/>
          <w:sz w:val="18"/>
          <w:szCs w:val="18"/>
          <w:shd w:fill="D4EA6B" w:val="clear"/>
        </w:rPr>
        <w:t>ones we didn’t identify (?)</w:t>
      </w:r>
    </w:p>
    <w:p>
      <w:pPr>
        <w:pStyle w:val="normalfirst"/>
        <w:numPr>
          <w:ilvl w:val="0"/>
          <w:numId w:val="3"/>
        </w:numPr>
        <w:spacing w:lineRule="auto" w:line="240"/>
        <w:rPr>
          <w:sz w:val="18"/>
          <w:szCs w:val="18"/>
          <w:highlight w:val="none"/>
          <w:shd w:fill="D4EA6B" w:val="clear"/>
        </w:rPr>
      </w:pPr>
      <w:r>
        <w:rPr>
          <w:sz w:val="18"/>
          <w:szCs w:val="18"/>
          <w:shd w:fill="D4EA6B" w:val="clear"/>
        </w:rPr>
        <w:t>New in COSMIC 3.5</w:t>
      </w:r>
    </w:p>
    <w:p>
      <w:pPr>
        <w:pStyle w:val="normalfirst"/>
        <w:numPr>
          <w:ilvl w:val="0"/>
          <w:numId w:val="3"/>
        </w:numPr>
        <w:spacing w:lineRule="auto" w:line="240"/>
        <w:rPr>
          <w:sz w:val="18"/>
          <w:szCs w:val="18"/>
          <w:highlight w:val="none"/>
          <w:shd w:fill="D4EA6B" w:val="clear"/>
        </w:rPr>
      </w:pPr>
      <w:r>
        <w:rPr>
          <w:sz w:val="18"/>
          <w:szCs w:val="18"/>
          <w:shd w:fill="D4EA6B" w:val="clear"/>
        </w:rPr>
        <w:t xml:space="preserve">ID24 – lungs of never smokers </w:t>
      </w:r>
    </w:p>
    <w:p>
      <w:pPr>
        <w:pStyle w:val="normalfirst"/>
        <w:numPr>
          <w:ilvl w:val="0"/>
          <w:numId w:val="3"/>
        </w:numPr>
        <w:spacing w:lineRule="auto" w:line="240"/>
        <w:rPr>
          <w:sz w:val="18"/>
          <w:szCs w:val="18"/>
          <w:highlight w:val="none"/>
          <w:shd w:fill="D4EA6B" w:val="clear"/>
        </w:rPr>
      </w:pPr>
      <w:r>
        <w:rPr>
          <w:sz w:val="18"/>
          <w:szCs w:val="18"/>
          <w:shd w:fill="D4EA6B" w:val="clear"/>
        </w:rPr>
        <w:t>ID25 – microsatellite stable colon cancer</w:t>
      </w:r>
    </w:p>
    <w:p>
      <w:pPr>
        <w:pStyle w:val="normalfirst"/>
        <w:numPr>
          <w:ilvl w:val="0"/>
          <w:numId w:val="3"/>
        </w:numPr>
        <w:spacing w:lineRule="auto" w:line="240"/>
        <w:rPr>
          <w:sz w:val="18"/>
          <w:szCs w:val="18"/>
          <w:highlight w:val="none"/>
          <w:shd w:fill="D4EA6B" w:val="clear"/>
        </w:rPr>
      </w:pPr>
      <w:r>
        <w:rPr>
          <w:sz w:val="18"/>
          <w:szCs w:val="18"/>
          <w:shd w:fill="D4EA6B" w:val="clear"/>
        </w:rPr>
        <w:t>ID15 (found in 2 tumors, check PCAWG paper, probably in TCGA exomes, download)</w:t>
      </w:r>
    </w:p>
    <w:p>
      <w:pPr>
        <w:pStyle w:val="normalfirst"/>
        <w:numPr>
          <w:ilvl w:val="0"/>
          <w:numId w:val="3"/>
        </w:numPr>
        <w:spacing w:lineRule="auto" w:line="240"/>
        <w:rPr>
          <w:sz w:val="18"/>
          <w:szCs w:val="18"/>
          <w:highlight w:val="none"/>
          <w:shd w:fill="D4EA6B" w:val="clear"/>
        </w:rPr>
      </w:pPr>
      <w:r>
        <w:rPr>
          <w:sz w:val="18"/>
          <w:szCs w:val="18"/>
          <w:shd w:fill="D4EA6B" w:val="clear"/>
        </w:rPr>
        <w:t>ID16, (found in 1 tumor, check PCAWG paper, probably in TCGA exomes; download)</w:t>
      </w:r>
    </w:p>
    <w:p>
      <w:pPr>
        <w:pStyle w:val="normalfirst"/>
        <w:numPr>
          <w:ilvl w:val="0"/>
          <w:numId w:val="3"/>
        </w:numPr>
        <w:spacing w:lineRule="auto" w:line="240"/>
        <w:rPr>
          <w:sz w:val="18"/>
          <w:szCs w:val="18"/>
          <w:highlight w:val="none"/>
          <w:shd w:fill="D4EA6B" w:val="clear"/>
        </w:rPr>
      </w:pPr>
      <w:r>
        <w:rPr>
          <w:sz w:val="18"/>
          <w:szCs w:val="18"/>
          <w:shd w:fill="D4EA6B" w:val="clear"/>
        </w:rPr>
        <w:t xml:space="preserve">ID20 (no specific tissue distribution noted, based on medarxiv paper </w:t>
      </w:r>
      <w:r>
        <w:rPr>
          <w:sz w:val="18"/>
          <w:szCs w:val="18"/>
          <w:shd w:fill="D4EA6B" w:val="clear"/>
        </w:rPr>
        <w:t>reporting analysis</w:t>
      </w:r>
      <w:r>
        <w:rPr>
          <w:sz w:val="18"/>
          <w:szCs w:val="18"/>
          <w:shd w:fill="D4EA6B" w:val="clear"/>
        </w:rPr>
        <w:t xml:space="preserve"> in 100genome project in UK) ; this is called id 19 in the paper  and is called “rare” single c insertions</w:t>
      </w:r>
    </w:p>
    <w:p>
      <w:pPr>
        <w:pStyle w:val="normalfirst"/>
        <w:numPr>
          <w:ilvl w:val="0"/>
          <w:numId w:val="3"/>
        </w:numPr>
        <w:spacing w:lineRule="auto" w:line="240"/>
        <w:rPr>
          <w:sz w:val="18"/>
          <w:szCs w:val="18"/>
          <w:highlight w:val="none"/>
          <w:shd w:fill="D4EA6B" w:val="clear"/>
        </w:rPr>
      </w:pPr>
      <w:r>
        <w:rPr>
          <w:sz w:val="18"/>
          <w:szCs w:val="18"/>
          <w:shd w:fill="D4EA6B" w:val="clear"/>
        </w:rPr>
        <w:t>ID21 also medarxiv paper 2-4 bp deletions of double repeats called id21 in the paper, possible chromthripsis related assoc w/ ID9</w:t>
      </w:r>
    </w:p>
    <w:p>
      <w:pPr>
        <w:pStyle w:val="normalfirst"/>
        <w:numPr>
          <w:ilvl w:val="0"/>
          <w:numId w:val="3"/>
        </w:numPr>
        <w:spacing w:lineRule="auto" w:line="240"/>
        <w:rPr>
          <w:sz w:val="18"/>
          <w:szCs w:val="18"/>
          <w:highlight w:val="none"/>
          <w:shd w:fill="D4EA6B" w:val="clear"/>
        </w:rPr>
      </w:pPr>
      <w:r>
        <w:rPr>
          <w:sz w:val="18"/>
          <w:szCs w:val="18"/>
          <w:shd w:fill="D4EA6B" w:val="clear"/>
        </w:rPr>
        <w:t>ID22 3 or 4 bp insertions, called ID22 in the paper, called rare</w:t>
      </w:r>
    </w:p>
    <w:p>
      <w:pPr>
        <w:pStyle w:val="normalfirst"/>
        <w:spacing w:lineRule="auto" w:line="480"/>
        <w:rPr/>
      </w:pPr>
      <w:r>
        <w:rPr/>
        <w:t>A signature was considered novel if it was not similar to a known signature and could not be reconstructed as a combination of several known signatures (</w:t>
      </w:r>
      <w:r>
        <w:rPr>
          <w:rFonts w:hint="eastAsia"/>
        </w:rPr>
        <w:t>more details in Methods and Results &lt;</w:t>
      </w:r>
      <w:r>
        <w:rPr>
          <w:rFonts w:hint="eastAsia"/>
          <w:shd w:fill="FFFF00" w:val="clear"/>
        </w:rPr>
        <w:t>confirm this</w:t>
      </w:r>
      <w:r>
        <w:rPr>
          <w:rFonts w:hint="eastAsia"/>
        </w:rPr>
        <w:t>&gt;)</w:t>
      </w:r>
      <w:r>
        <w:rPr/>
        <w:t>.</w:t>
      </w:r>
    </w:p>
    <w:p>
      <w:pPr>
        <w:pStyle w:val="normalfirst"/>
        <w:rPr>
          <w:highlight w:val="none"/>
          <w:shd w:fill="FFFF00" w:val="clear"/>
        </w:rPr>
      </w:pPr>
      <w:r>
        <w:rPr>
          <w:shd w:fill="auto" w:val="clear"/>
        </w:rPr>
        <w:t xml:space="preserve">Among the signatures in the Koh89 classification </w:t>
      </w:r>
      <w:r>
        <w:rPr>
          <w:shd w:fill="FF7B59" w:val="clear"/>
        </w:rPr>
        <w:t>xx</w:t>
      </w:r>
      <w:r>
        <w:rPr>
          <w:shd w:fill="auto" w:val="clear"/>
        </w:rPr>
        <w:t xml:space="preserve"> were novel, and we re-identified </w:t>
      </w:r>
      <w:r>
        <w:rPr>
          <w:shd w:fill="FF7B59" w:val="clear"/>
        </w:rPr>
        <w:t>yy</w:t>
      </w:r>
      <w:r>
        <w:rPr>
          <w:shd w:fill="auto" w:val="clear"/>
        </w:rPr>
        <w:t xml:space="preserve"> of the signatures presented in </w:t>
      </w:r>
      <w:r>
        <w:rPr>
          <w:shd w:fill="FFFF00" w:val="clear"/>
        </w:rPr>
        <w:t>&lt;ref the Koh paper&gt;</w:t>
      </w:r>
    </w:p>
    <w:p>
      <w:pPr>
        <w:pStyle w:val="normalfirst"/>
        <w:rPr>
          <w:highlight w:val="none"/>
          <w:shd w:fill="FFFF00" w:val="clear"/>
        </w:rPr>
      </w:pPr>
      <w:r>
        <w:rPr>
          <w:shd w:fill="FFFF00" w:val="clear"/>
        </w:rPr>
        <w:t>Koh paper had 37 signatures, of which 4 were deemed artifacts</w:t>
      </w:r>
    </w:p>
    <w:p>
      <w:pPr>
        <w:pStyle w:val="normalfirst"/>
        <w:rPr>
          <w:highlight w:val="none"/>
          <w:shd w:fill="FFFF00" w:val="clear"/>
        </w:rPr>
      </w:pPr>
      <w:r>
        <w:rPr>
          <w:shd w:fill="FFFF00" w:val="clear"/>
        </w:rPr>
        <w:t>Did any of the signatures in the Koh paper correspond to novel COSMIC83 / 83-type signatures?</w:t>
      </w:r>
    </w:p>
    <w:p>
      <w:pPr>
        <w:pStyle w:val="normalfirst"/>
        <w:rPr>
          <w:highlight w:val="none"/>
          <w:shd w:fill="FFFF00" w:val="clear"/>
        </w:rPr>
      </w:pPr>
      <w:r>
        <w:rPr>
          <w:shd w:fill="auto" w:val="clear"/>
        </w:rPr>
        <w:t xml:space="preserve"> </w:t>
      </w:r>
      <w:r>
        <w:rPr>
          <w:shd w:fill="FFFF00" w:val="clear"/>
        </w:rPr>
        <w:t xml:space="preserve">START HERE, also edit Fig legends </w:t>
      </w:r>
    </w:p>
    <w:p>
      <w:pPr>
        <w:pStyle w:val="Normal"/>
        <w:rPr/>
      </w:pPr>
      <w:r>
        <w:rPr/>
        <w:t xml:space="preserve"> </w:t>
      </w:r>
      <w:r>
        <w:rPr/>
        <w:t xml:space="preserve">Explain C and H sigs in fig 2 legend; explain insdel in fig 3 legend, Put this in </w:t>
      </w:r>
      <w:r>
        <w:rPr/>
        <w:t xml:space="preserve">We designate signatures in Koh89 classification that we extracted with the prefix InsDel (e.g. InsDel23 in Figure 1B). We based the numbering of signatures in the Koh89 classification on the numbering in </w:t>
      </w:r>
      <w:r>
        <w:rPr>
          <w:shd w:fill="FFFF00" w:val="clear"/>
        </w:rPr>
        <w:t>&lt;ref cosmic&gt;, and  wh</w:t>
      </w:r>
      <w:r>
        <w:rPr/>
        <w:t>en a single signature in the COSMIC83 classification can be subdivided into several several signatures in the Koh89 classification, we distinguish the latter by single-letter suffixes. For example, COSMIC83 signature ID1 maps to InsDel1a, InsDel1b, InsDel1c, and InsDel1d in the Koh89 classification. In many cases Koh et al assigned InD numbers to signatures with the same number in &lt;cosmic reference&gt;. However, some assignments appear to be discrepant based on analyses in the current stud</w:t>
      </w:r>
      <w:r>
        <w:rPr>
          <w:shd w:fill="FFFF00" w:val="clear"/>
        </w:rPr>
        <w:t>y, and we believe the InsDel IDs provide better correspondence.</w:t>
      </w:r>
    </w:p>
    <w:p>
      <w:pPr>
        <w:pStyle w:val="Normal"/>
        <w:rPr>
          <w:shd w:fill="FFFF00" w:val="clear"/>
        </w:rPr>
      </w:pPr>
      <w:r>
        <w:rPr>
          <w:shd w:fill="FFFF00" w:val="clear"/>
        </w:rPr>
        <w:t>Put this somewhere else or delete: For signatures extracted in Koh et al. 2025 we use the identifiers beginning InD as presented in that paper.</w:t>
      </w:r>
    </w:p>
    <w:p>
      <w:pPr>
        <w:pStyle w:val="Normal"/>
        <w:ind w:hanging="0" w:start="0"/>
        <w:rPr>
          <w:shd w:fill="FFFF00" w:val="clear"/>
        </w:rPr>
      </w:pPr>
      <w:r>
        <w:rPr>
          <w:shd w:fill="FFFF00" w:val="clear"/>
        </w:rPr>
        <w:t>xxxxxxx</w:t>
      </w:r>
    </w:p>
    <w:p>
      <w:pPr>
        <w:pStyle w:val="normalfirst"/>
        <w:rPr>
          <w:shd w:fill="auto" w:val="clear"/>
        </w:rPr>
      </w:pPr>
      <w:r>
        <w:rPr>
          <w:shd w:fill="auto" w:val="clear"/>
        </w:rPr>
      </w:r>
    </w:p>
    <w:p>
      <w:pPr>
        <w:pStyle w:val="Normal"/>
        <w:rPr/>
      </w:pPr>
      <w:r>
        <w:rPr/>
      </w:r>
    </w:p>
    <w:p>
      <w:pPr>
        <w:pStyle w:val="Normal"/>
        <w:rPr/>
      </w:pPr>
      <w:r>
        <w:rPr>
          <w:shd w:fill="FFFF00" w:val="clear"/>
        </w:rPr>
        <w:t xml:space="preserve">&lt;because of the large numbers of mutations missed by the original classification, probably belongs here; need to document the large numbers&gt; </w:t>
      </w:r>
      <w:r>
        <w:rPr/>
        <w:t xml:space="preserve">Notably, the code from &lt;Koh et al would have discarded xxxx of XXXX indels….because of the upper bound on the lengths of homopolymers in that classificaiton&gt; we modified one category from Koh et al.’s original classification, expanding the 1-base C deletion from </w:t>
      </w:r>
      <w:r>
        <w:rPr>
          <w:i/>
          <w:iCs/>
        </w:rPr>
        <w:t>C(6</w:t>
      </w:r>
      <w:r>
        <w:rPr>
          <w:rFonts w:hint="eastAsia"/>
          <w:i/>
          <w:iCs/>
        </w:rPr>
        <w:t>,</w:t>
      </w:r>
      <w:r>
        <w:rPr>
          <w:i/>
          <w:iCs/>
        </w:rPr>
        <w:t>9)</w:t>
      </w:r>
      <w:r>
        <w:rPr/>
        <w:t xml:space="preserve"> to </w:t>
      </w:r>
      <w:r>
        <w:rPr>
          <w:i/>
          <w:iCs/>
        </w:rPr>
        <w:t>C(6</w:t>
      </w:r>
      <w:r>
        <w:rPr>
          <w:rFonts w:hint="eastAsia"/>
          <w:i/>
          <w:iCs/>
        </w:rPr>
        <w:t>,</w:t>
      </w:r>
      <w:r>
        <w:rPr>
          <w:i/>
          <w:iCs/>
        </w:rPr>
        <w:t>)</w:t>
      </w:r>
      <w:r>
        <w:rPr/>
        <w:t xml:space="preserve">, </w:t>
      </w:r>
      <w:r>
        <w:rPr>
          <w:strike/>
        </w:rPr>
        <w:t>&lt;delete:&gt; as we observed 1 bp C deletions from polyC tracts as long as 10–15 bp in 853 samples within our dataset.</w:t>
      </w:r>
      <w:r>
        <w:rPr>
          <w:rFonts w:hint="eastAsia"/>
        </w:rPr>
        <w:t xml:space="preserve"> </w:t>
      </w:r>
    </w:p>
    <w:p>
      <w:pPr>
        <w:pStyle w:val="Normal"/>
        <w:rPr/>
      </w:pPr>
      <w:r>
        <w:rPr/>
        <w:t>Our de novo signature discovery followed a three-step approach:</w:t>
      </w:r>
    </w:p>
    <w:p>
      <w:pPr>
        <w:pStyle w:val="ListParagraph"/>
        <w:numPr>
          <w:ilvl w:val="0"/>
          <w:numId w:val="2"/>
        </w:numPr>
        <w:ind w:firstLineChars="0" w:firstLine="420"/>
        <w:rPr/>
      </w:pPr>
      <w:r>
        <w:rPr/>
        <w:t>Extraction of ID signatures was performed in three ways for each of the classification systems: (a) across all tumors combined, (b) across tumors with high tumor mutation burdens (TMB; see Methods for details), and (c) separately within each tumor type to detect tumor-specific rare signatures.</w:t>
      </w:r>
    </w:p>
    <w:p>
      <w:pPr>
        <w:pStyle w:val="ListParagraph"/>
        <w:numPr>
          <w:ilvl w:val="0"/>
          <w:numId w:val="2"/>
        </w:numPr>
        <w:ind w:firstLineChars="0" w:firstLine="420"/>
        <w:rPr/>
      </w:pPr>
      <w:r>
        <w:rPr/>
        <w:t>Highly similar signatures from all extractions were consolidated, and those reconstructible by other signatures were removed</w:t>
      </w:r>
      <w:r>
        <w:rPr>
          <w:rFonts w:hint="eastAsia"/>
        </w:rPr>
        <w:t xml:space="preserve"> (Methods)</w:t>
      </w:r>
      <w:r>
        <w:rPr/>
        <w:t>.</w:t>
      </w:r>
    </w:p>
    <w:p>
      <w:pPr>
        <w:pStyle w:val="ListParagraph"/>
        <w:numPr>
          <w:ilvl w:val="0"/>
          <w:numId w:val="2"/>
        </w:numPr>
        <w:ind w:firstLineChars="0" w:firstLine="420"/>
        <w:rPr/>
      </w:pPr>
      <w:r>
        <w:rPr/>
        <w:t xml:space="preserve">The resulting mSigHdp </w:t>
      </w:r>
      <w:r>
        <w:rPr>
          <w:rFonts w:hint="eastAsia"/>
        </w:rPr>
        <w:t xml:space="preserve">COSMIC83 </w:t>
      </w:r>
      <w:r>
        <w:rPr/>
        <w:t>signatures were compared to COSMIC v3.4 signatures and classified into three groups: (a) 18 signatures matching COSMIC v3.4 with cosine similarity &gt; 0.85 (designated "C_IDx," where x corresponds to the COSMIC ID; see Figure 2B and Figure S1), (b) signatures reconstructible as combinations of multiple COSMIC signatures (</w:t>
      </w:r>
      <w:r>
        <w:rPr>
          <w:rFonts w:hint="eastAsia"/>
        </w:rPr>
        <w:t>Methods</w:t>
      </w:r>
      <w:r>
        <w:rPr/>
        <w:t xml:space="preserve">), and (c) 15 novel signatures not fitting these categories, labeled "H_IDx" starting from ID24, as COSMIC v3.4 ends at ID23 &lt;It now goes to ID25&gt;  (Figure 2C). All novel signatures are supported by at least one sample, reinforcing their biological relevance </w:t>
      </w:r>
      <w:r>
        <w:rPr>
          <w:rFonts w:hint="eastAsia"/>
        </w:rPr>
        <w:t>(Vignettes</w:t>
      </w:r>
      <w:r>
        <w:rPr/>
        <w:t>)</w:t>
      </w:r>
      <w:r>
        <w:rPr>
          <w:rFonts w:hint="eastAsia"/>
        </w:rPr>
        <w:t xml:space="preserve">; </w:t>
      </w:r>
      <w:r>
        <w:rPr/>
        <w:t>Koh89 signatures were named according to their corresponding COSMIC83 signatures (designated as InsDelx for matches to C_IDx or H_IDx</w:t>
      </w:r>
      <w:r>
        <w:rPr>
          <w:rFonts w:hint="eastAsia"/>
        </w:rPr>
        <w:t xml:space="preserve">, details in Methods, </w:t>
      </w:r>
      <w:r>
        <w:rPr>
          <w:rFonts w:hint="eastAsia"/>
          <w:shd w:fill="C0C0C0" w:val="clear"/>
        </w:rPr>
        <w:t>Vignettes</w:t>
      </w:r>
      <w:r>
        <w:rPr/>
        <w:t>). If multiple Koh89 signatures mapped to a single COSMIC83 signature, they were named InsDelx_a, InsDelx_b, and so forth.</w:t>
      </w:r>
      <w:r>
        <w:rPr>
          <w:rFonts w:hint="eastAsia"/>
        </w:rPr>
        <w:t xml:space="preserve"> </w:t>
      </w:r>
    </w:p>
    <w:p>
      <w:pPr>
        <w:pStyle w:val="Normal"/>
        <w:rPr/>
      </w:pPr>
      <w:r>
        <w:rPr/>
        <w:t>Our analysis primarily focuses on groups (a) and (c). Overall, we identified 33 distinct COSMIC83 signatures and 41 Koh89 signatures (</w:t>
      </w:r>
      <w:r>
        <w:rPr>
          <w:rFonts w:hint="eastAsia"/>
        </w:rPr>
        <w:t>Figure</w:t>
      </w:r>
      <w:r>
        <w:rPr/>
        <w:t>s</w:t>
      </w:r>
      <w:r>
        <w:rPr>
          <w:rFonts w:hint="eastAsia"/>
        </w:rPr>
        <w:t xml:space="preserve"> 2</w:t>
      </w:r>
      <w:r>
        <w:rPr/>
        <w:t xml:space="preserve">, </w:t>
      </w:r>
      <w:r>
        <w:rPr>
          <w:rFonts w:hint="eastAsia"/>
        </w:rPr>
        <w:t>3</w:t>
      </w:r>
      <w:r>
        <w:rPr/>
        <w:t>).</w:t>
      </w:r>
    </w:p>
    <w:p>
      <w:pPr>
        <w:pStyle w:val="Heading2"/>
        <w:ind w:hanging="0" w:start="0"/>
        <w:rPr/>
      </w:pPr>
      <w:r>
        <w:rPr/>
        <w:t>Previously reported COSMIC COSMIC83 signatures</w:t>
      </w:r>
    </w:p>
    <w:p>
      <w:pPr>
        <w:pStyle w:val="Normal"/>
        <w:rPr/>
      </w:pPr>
      <w:r>
        <w:rPr/>
        <w:t>The mSigHdp analysis successfully re-identified signatures similar to 18 of the 23 COSMIC (v3.4) COSMIC83 signatures</w:t>
      </w:r>
      <w:r>
        <w:rPr>
          <w:rFonts w:hint="eastAsia"/>
        </w:rPr>
        <w:t xml:space="preserve"> (C_ID1 to C_ID23 in Figure2)</w:t>
      </w:r>
      <w:r>
        <w:rPr/>
        <w:t>. The remaining five COSMIC signatures (ID15, ID16, ID20, ID21, and ID22) were not detected, as they are absent from the PCAWG dataset. The ability of mSigHdp to recover all COSMIC signatures present in PCAWG highlights its robustness for mutational signature analysis.</w:t>
      </w:r>
    </w:p>
    <w:p>
      <w:pPr>
        <w:pStyle w:val="Normal"/>
        <w:rPr/>
      </w:pPr>
      <w:r>
        <w:rPr/>
        <w:t>Since Koh89 signatures are not catalogued in COSMIC, we compared our Koh89 signatures to the 37 InD signatures reported by Koh et al., 2025. Of these, 21 were recapitulated in our analysis, while 10 were not identified—either due to being artefactual or absent from the PCAWG or HMF datasets. An additional six Koh et al. signatures could be reconstructed using our Koh89 signatures (see Methods and Table S</w:t>
      </w:r>
      <w:r>
        <w:rPr>
          <w:rFonts w:hint="eastAsia"/>
        </w:rPr>
        <w:t>1</w:t>
      </w:r>
      <w:r>
        <w:rPr/>
        <w:t xml:space="preserve">). Beyond the signatures reported by Koh et al., we identified 23 Koh89 signatures: 12 </w:t>
      </w:r>
      <w:r>
        <w:rPr>
          <w:rFonts w:hint="eastAsia"/>
        </w:rPr>
        <w:t xml:space="preserve">signatures </w:t>
      </w:r>
      <w:r>
        <w:rPr/>
        <w:t>map to COSMIC COSMIC83 signatures, 10 correspond to the novel COSMIC83 signatures, and one does not align with any COSMIC83 signature</w:t>
      </w:r>
      <w:r>
        <w:rPr>
          <w:rFonts w:hint="eastAsia"/>
        </w:rPr>
        <w:t xml:space="preserve"> (Table 1)</w:t>
      </w:r>
      <w:r>
        <w:rPr/>
        <w:t>.</w:t>
      </w:r>
    </w:p>
    <w:p>
      <w:pPr>
        <w:pStyle w:val="Normal"/>
        <w:rPr/>
      </w:pPr>
      <w:r>
        <w:rPr/>
        <w:t>Notably, there were nuanced differences between some COSMIC signatures and those extracted by mSigHdp, with our mSigHdp-derived signatures often providing more biologically plausible characterizations:</w:t>
      </w:r>
    </w:p>
    <w:p>
      <w:pPr>
        <w:pStyle w:val="Normal"/>
        <w:rPr/>
      </w:pPr>
      <w:r>
        <w:rPr/>
        <w:t xml:space="preserve">(1) </w:t>
      </w:r>
      <w:r>
        <w:rPr>
          <w:rFonts w:hint="eastAsia"/>
        </w:rPr>
        <w:t xml:space="preserve">ID9: </w:t>
      </w:r>
      <w:r>
        <w:rPr/>
        <w:t xml:space="preserve">Unlike C_ID9 in our extraction, the COSMIC ID9 signature shows a near-absence of the DEL:1:T:5+ motif (Figure S1), despite DEL:1:T:5+ mutations being common in all tumors exhibiting ID9. Biologically, a process removing single thymine bases from polyT tracts of 1 to 4 bases would likely also operate on longer polyT stretches. The </w:t>
      </w:r>
      <w:r>
        <w:rPr>
          <w:rFonts w:hint="eastAsia"/>
        </w:rPr>
        <w:t>Koh89</w:t>
      </w:r>
      <w:r>
        <w:rPr/>
        <w:t xml:space="preserve"> classification supports this, as InsDel9 captures singe-base T deletions from polyT sequences ranging in length from 1 to 9 bases. Similarly, </w:t>
      </w:r>
      <w:r>
        <w:rPr>
          <w:rFonts w:hint="eastAsia"/>
        </w:rPr>
        <w:t>we identified InsDel9 (</w:t>
      </w:r>
      <w:r>
        <w:rPr/>
        <w:t xml:space="preserve">comparable to </w:t>
      </w:r>
      <w:r>
        <w:rPr>
          <w:rFonts w:hint="eastAsia"/>
        </w:rPr>
        <w:t>Koh et al</w:t>
      </w:r>
      <w:r>
        <w:rPr/>
        <w:t>’</w:t>
      </w:r>
      <w:r>
        <w:rPr>
          <w:rFonts w:hint="eastAsia"/>
        </w:rPr>
        <w:t>s InD</w:t>
      </w:r>
      <w:r>
        <w:rPr/>
        <w:t>9</w:t>
      </w:r>
      <w:r>
        <w:rPr>
          <w:rFonts w:hint="eastAsia"/>
        </w:rPr>
        <w:t>b</w:t>
      </w:r>
      <w:r>
        <w:rPr/>
        <w:t>), which capture</w:t>
      </w:r>
      <w:r>
        <w:rPr>
          <w:rFonts w:hint="eastAsia"/>
        </w:rPr>
        <w:t>s</w:t>
      </w:r>
      <w:r>
        <w:rPr/>
        <w:t xml:space="preserve"> th</w:t>
      </w:r>
      <w:r>
        <w:rPr>
          <w:shd w:fill="FFFF00" w:val="clear"/>
        </w:rPr>
        <w:t xml:space="preserve">e depletion 1 bp T across polyT </w:t>
      </w:r>
      <w:r>
        <w:rPr/>
        <w:t>tracts of various lengths</w:t>
      </w:r>
      <w:r>
        <w:rPr>
          <w:rFonts w:hint="eastAsia"/>
        </w:rPr>
        <w:t xml:space="preserve">.  </w:t>
      </w:r>
    </w:p>
    <w:p>
      <w:pPr>
        <w:pStyle w:val="Normal"/>
        <w:rPr/>
      </w:pPr>
      <w:r>
        <w:rPr/>
        <w:t xml:space="preserve">(2) ID5: The </w:t>
      </w:r>
      <w:r>
        <w:rPr>
          <w:rFonts w:hint="eastAsia"/>
        </w:rPr>
        <w:t xml:space="preserve">clock-like </w:t>
      </w:r>
      <w:r>
        <w:rPr/>
        <w:t>C_ID5 signature incorporates elements from both COSMIC ID5 and ID8, despite a cosine similarity of 0.9</w:t>
      </w:r>
      <w:r>
        <w:rPr>
          <w:rFonts w:hint="eastAsia"/>
        </w:rPr>
        <w:t>22</w:t>
      </w:r>
      <w:r>
        <w:rPr/>
        <w:t xml:space="preserve"> to COSMIC ID5</w:t>
      </w:r>
      <w:r>
        <w:rPr>
          <w:rFonts w:hint="eastAsia"/>
        </w:rPr>
        <w:t xml:space="preserve"> (Figure S2A,B)</w:t>
      </w:r>
      <w:r>
        <w:rPr/>
        <w:t>. Although the long deletion patterns are highly similar between ID5 and ID8, they exhibit distinct preferences in deletion length: ID5 primarily features long deletions less than 10 nt, with almost no deletions longer than 30 nt, while ID8 displays a more even distribution of deletions ranging from 5 to over 30 nt (</w:t>
      </w:r>
      <w:r>
        <w:rPr>
          <w:rFonts w:hint="eastAsia"/>
        </w:rPr>
        <w:t>Figure S2C</w:t>
      </w:r>
      <w:r>
        <w:rPr/>
        <w:t>)</w:t>
      </w:r>
      <w:r>
        <w:rPr>
          <w:rFonts w:hint="eastAsia"/>
        </w:rPr>
        <w:t xml:space="preserve">. </w:t>
      </w:r>
      <w:r>
        <w:rPr/>
        <w:t>Our analysis revealed no tumor samples supporting COSMIC ID5 in isolation</w:t>
      </w:r>
      <w:r>
        <w:rPr>
          <w:rFonts w:hint="eastAsia"/>
        </w:rPr>
        <w:t xml:space="preserve">, while </w:t>
      </w:r>
      <w:r>
        <w:rPr/>
        <w:t>we identified tumors that support C_ID8 alone (</w:t>
      </w:r>
      <w:r>
        <w:rPr>
          <w:rFonts w:hint="eastAsia"/>
        </w:rPr>
        <w:t>Figure S2D</w:t>
      </w:r>
      <w:r>
        <w:rPr/>
        <w:t>). We examined PCAWG tumors with reported ID5 activity from Alexandrov et al., finding that there is a high</w:t>
      </w:r>
      <w:r>
        <w:rPr>
          <w:rFonts w:hint="eastAsia"/>
        </w:rPr>
        <w:t xml:space="preserve"> correlation between ID5 activity and ID8 activity in most cancer types with both active ID5 and ID8 (Figure S2E)</w:t>
      </w:r>
      <w:r>
        <w:rPr/>
        <w:t>. These findings suggest that the mutational process represented by ID5 is also responsible for long deletions in these contexts.</w:t>
      </w:r>
      <w:r>
        <w:rPr>
          <w:rFonts w:hint="eastAsia"/>
        </w:rPr>
        <w:t xml:space="preserve"> </w:t>
      </w:r>
      <w:r>
        <w:rPr/>
        <w:t>Overall, our analysis indicates that C_ID5 provides a more comprehensive view of genomic alterations rather than simply merging ID5 and ID8.</w:t>
      </w:r>
      <w:r>
        <w:rPr>
          <w:rFonts w:hint="eastAsia"/>
        </w:rPr>
        <w:t xml:space="preserve"> </w:t>
      </w:r>
      <w:r>
        <w:rPr/>
        <w:t xml:space="preserve">Supporting this, the </w:t>
      </w:r>
      <w:r>
        <w:rPr>
          <w:rFonts w:hint="eastAsia"/>
        </w:rPr>
        <w:t>Koh89</w:t>
      </w:r>
      <w:r>
        <w:rPr/>
        <w:t xml:space="preserve"> signatures InsDel5a and InsDel5b show a high prevalence of long deletions and deletions within microhomologies, reinforcing the </w:t>
      </w:r>
      <w:r>
        <w:rPr>
          <w:rFonts w:hint="eastAsia"/>
        </w:rPr>
        <w:t>presence</w:t>
      </w:r>
      <w:r>
        <w:rPr/>
        <w:t xml:space="preserve"> of these features in C_ID5</w:t>
      </w:r>
      <w:r>
        <w:rPr>
          <w:rFonts w:hint="eastAsia"/>
        </w:rPr>
        <w:t xml:space="preserve"> (Figure 3). </w:t>
      </w:r>
    </w:p>
    <w:p>
      <w:pPr>
        <w:pStyle w:val="Normal"/>
        <w:rPr/>
      </w:pPr>
      <w:r>
        <w:rPr/>
        <w:t xml:space="preserve">(3) ID17: Compared to COSMIC ID17, </w:t>
      </w:r>
      <w:r>
        <w:rPr>
          <w:rFonts w:hint="eastAsia"/>
        </w:rPr>
        <w:t xml:space="preserve">we found that </w:t>
      </w:r>
      <w:r>
        <w:rPr/>
        <w:t>C_ID17 signature enhanced the pattern of deletions at repeats and microhomologies, showing similarities to ID8 deletions. Boot et al. identified and validated an association between the TOP2A (Topoisomerase 2A) p.K743N mutation and ID17 (also known as ID_TOP2A) using a yeast model. Our analysis revealed that our C_ID</w:t>
      </w:r>
      <w:r>
        <w:rPr>
          <w:rFonts w:hint="eastAsia"/>
        </w:rPr>
        <w:t>1</w:t>
      </w:r>
      <w:r>
        <w:rPr/>
        <w:t xml:space="preserve">7 signature demonstrates a closer resemblance to the ID_TOP2A signature identified by Boot et al. than to COSMIC ID17 (Figure </w:t>
      </w:r>
      <w:r>
        <w:rPr>
          <w:rFonts w:hint="eastAsia"/>
        </w:rPr>
        <w:t>S3A, B</w:t>
      </w:r>
      <w:r>
        <w:rPr/>
        <w:t>, cosine similarity = 0.982).</w:t>
      </w:r>
    </w:p>
    <w:p>
      <w:pPr>
        <w:pStyle w:val="Heading2"/>
        <w:ind w:hanging="0" w:start="0"/>
        <w:rPr/>
      </w:pPr>
      <w:r>
        <w:rPr/>
        <w:t>Signature activity</w:t>
      </w:r>
    </w:p>
    <w:p>
      <w:pPr>
        <w:pStyle w:val="Normal"/>
        <w:rPr/>
      </w:pPr>
      <w:r>
        <w:rPr/>
        <w:t xml:space="preserve">We evaluated the activity of </w:t>
      </w:r>
      <w:r>
        <w:rPr>
          <w:rFonts w:hint="eastAsia"/>
        </w:rPr>
        <w:t>33 COSMIC83 and 41 Koh89</w:t>
      </w:r>
      <w:r>
        <w:rPr/>
        <w:t xml:space="preserve"> signatures using mSigAct, a tool </w:t>
      </w:r>
      <w:r>
        <w:rPr>
          <w:rFonts w:hint="eastAsia"/>
        </w:rPr>
        <w:t xml:space="preserve">incorporating statistical analysis for the presence of a given signature </w:t>
      </w:r>
      <w:r>
        <w:fldChar w:fldCharType="begin"/>
      </w:r>
      <w:r>
        <w:rPr>
          <w:rFonts w:hint="eastAsia"/>
        </w:rPr>
        <w:instrText xml:space="preserve">ADDIN ZOTERO_ITEM CSL_CITATION {"citationID":"It5pCsjD","properties":{"formattedCitation":"(Jiang et al. 2024)","plainCitation":"(Jiang et al. 2024)","noteIndex":0},"citationItems":[{"id":"LB8OR9DJ/pNv2mIZ6","uris":["http://zotero.org/users/14858941/items/TNZKE37K"],"itemData":{"id":687,"type":"article-journal","abstract":"Mutational signatures are characteristic patterns of mutations caused by endogenous mutational processes or by exogenous mutational exposures. Much research has focused on the problem of inferring mutational signatures as latent variables in somatic mutation data from multiple tumors. However, the problem of determining which signatures are present in a given sample and how many mutations each signature is responsible for has received negligible attention. In particular, there has been little systematic benchmarking of various approaches to this problem. This problem is referred to as \"signature attribution\" in a single sample. We show that this is a challenging problem, because there are often many combinations of signatures that can reconstruct the mutational spectrum of a given sample reasonably well. We benchmarked the accuracy of five approaches to signature attribution, including a new approach we call Presence Attribute Signature Activity (PASA), on large synthetic data sets. These data sets recapitulated the single-base, insertion-deletion, and doublet-base mutational signature repertoires of 9 cancer types. For single-base substitution mutations, PASA outperformed other approaches on all the cancer types combined. Interestingly, however, the ranking of approaches varied by cancer type. For doublet-base substitutions and small insertions and deletions, the ranking of approaches was more stable, with PASA outperforming other approaches in most, but not all of the nine cancer types. For all mutation types, the ranking of approaches varied by cancer type, and no approach achieved both high precision and recall. We believe these observations reflect the inherent challenges in signature attribution.","container-title":"bioRxiv","DOI":"10.1101/2024.05.20.594967","title":"A new approach to the challenging problem of mutational signature attribution","URL":"https://doi.org/10.1101/2024.05.20.594967","author":[{"family":"Jiang","given":"Nanhai"},{"family":"Wu","given":"Yang"},{"family":"Rozen","given":"Steven G"}],"issued":{"date-parts":[["2024"]]}}}],"schema":"https://github.com/citation-style-language/schema/raw/master/csl-citation.json"}</w:instrText>
      </w:r>
      <w:r>
        <w:rPr>
          <w:rFonts w:hint="eastAsia"/>
        </w:rPr>
      </w:r>
      <w:r>
        <w:rPr>
          <w:rFonts w:hint="eastAsia"/>
        </w:rPr>
        <w:fldChar w:fldCharType="separate"/>
      </w:r>
      <w:r>
        <w:rPr>
          <w:rFonts w:hint="eastAsia"/>
        </w:rPr>
      </w:r>
      <w:r>
        <w:rPr/>
        <w:t>(Jiang et al. 2024)</w:t>
      </w:r>
      <w:r>
        <w:rPr>
          <w:rFonts w:hint="eastAsia"/>
        </w:rPr>
      </w:r>
      <w:r>
        <w:rPr>
          <w:rFonts w:hint="eastAsia"/>
        </w:rPr>
        <w:fldChar w:fldCharType="end"/>
      </w:r>
      <w:r>
        <w:rPr/>
        <w:t xml:space="preserve">. </w:t>
      </w:r>
      <w:commentRangeStart w:id="0"/>
      <w:r>
        <w:rPr/>
        <w:t xml:space="preserve">Tumors with high TMB often exhibit </w:t>
      </w:r>
      <w:r>
        <w:rPr>
          <w:rFonts w:hint="eastAsia"/>
        </w:rPr>
        <w:t xml:space="preserve">large amounts of </w:t>
      </w:r>
      <w:r>
        <w:rPr/>
        <w:t xml:space="preserve">1 bp T deletions and/or insertions in polyT sequences (DEL:T:1:5+ and/or INS:T:1:5+). These predominant peaks can obscure other signals, affecting the accuracy of signature assignment analysis. To address this, we propose a </w:t>
      </w:r>
      <w:r>
        <w:rPr>
          <w:rFonts w:hint="eastAsia"/>
        </w:rPr>
        <w:t>novel</w:t>
      </w:r>
      <w:r>
        <w:rPr/>
        <w:t xml:space="preserve"> approach for analyzing signature assignments </w:t>
      </w:r>
      <w:r>
        <w:rPr>
          <w:rFonts w:hint="eastAsia"/>
        </w:rPr>
        <w:t>specialized for COSMIC83 spectra</w:t>
      </w:r>
      <w:r>
        <w:rPr>
          <w:rFonts w:hint="eastAsia"/>
        </w:rPr>
      </w:r>
      <w:commentRangeEnd w:id="0"/>
      <w:r>
        <w:commentReference w:id="0"/>
      </w:r>
      <w:r>
        <w:rPr>
          <w:rFonts w:hint="eastAsia"/>
        </w:rPr>
        <w:t>:</w:t>
      </w:r>
      <w:r>
        <w:rPr/>
        <w:t xml:space="preserve"> </w:t>
      </w:r>
      <w:r>
        <w:rPr>
          <w:rFonts w:hint="eastAsia"/>
        </w:rPr>
        <w:t>f</w:t>
      </w:r>
      <w:r>
        <w:rPr/>
        <w:t xml:space="preserve">irst, we removed DEL:T:1:5+ and INS:T:1:5+ mutations to enhance the visibility of other peaks, resulting in </w:t>
      </w:r>
      <w:r>
        <w:rPr>
          <w:rFonts w:hint="eastAsia"/>
        </w:rPr>
        <w:t xml:space="preserve">Indel81 </w:t>
      </w:r>
      <w:r>
        <w:rPr/>
        <w:t xml:space="preserve">catalogs/signatures. Next, these </w:t>
      </w:r>
      <w:r>
        <w:rPr>
          <w:rFonts w:hint="eastAsia"/>
        </w:rPr>
        <w:t xml:space="preserve">Indel81 </w:t>
      </w:r>
      <w:r>
        <w:rPr/>
        <w:t xml:space="preserve">catalogs were reconstructed from the </w:t>
      </w:r>
      <w:r>
        <w:rPr>
          <w:rFonts w:hint="eastAsia"/>
        </w:rPr>
        <w:t xml:space="preserve">Indel81 </w:t>
      </w:r>
      <w:r>
        <w:rPr/>
        <w:t>signatures. After this reconstruction, DEL:T:1:5+ and INS:T:1:5+ mutations were reintroduced, and the signature assignment analysis was performed by comparing the original and reconstructed catalogs with C_ID1 and C_ID2. This strategy enables the extraction of more nuanced information from indel spectra that may otherwise be masked by high-frequency events.</w:t>
      </w:r>
    </w:p>
    <w:p>
      <w:pPr>
        <w:pStyle w:val="Normal"/>
        <w:rPr/>
      </w:pPr>
      <w:r>
        <w:rPr/>
        <w:t xml:space="preserve">Consistent with previous reports, C_ID1, C_ID2, C_ID5, and C_ID8 were detected in the majority of cancer types, while C_ID3 was particularly prominent in lung and liver cancers, and C_ID13 was enriched in skin cancers (Figure </w:t>
      </w:r>
      <w:r>
        <w:rPr>
          <w:rFonts w:hint="eastAsia"/>
        </w:rPr>
        <w:t>4a</w:t>
      </w:r>
      <w:r>
        <w:rPr/>
        <w:t xml:space="preserve">). The novel signatures identified by mSigHdp generally exhibited activity in fewer cancer types compared to established COSMIC signatures, with the exception of H_ID24 and H_ID25, which were prevalent across a wide range of cancers (Figure </w:t>
      </w:r>
      <w:r>
        <w:rPr>
          <w:rFonts w:hint="eastAsia"/>
        </w:rPr>
        <w:t>4b</w:t>
      </w:r>
      <w:r>
        <w:rPr/>
        <w:t>). Koh89 signature assignments revealed strong concordance with COSMIC83 signatures when a one-to-one mapping was present. When an COSMIC83 signature was represented by multiple Koh89 signatures (e.g., C_ID1 was captured by InsDel1a, InsDel1b, InsDel1c, and InsDel1d), these split signatures often displayed cancer type-specific activity. For example, while C_ID1 and C_ID2 were detected across nearly all cancer types, InsDel1a was most prevalent in colon, prostate, and uterine cancers, whereas InsDel1c was enriched in biliary, CNS, lymphoid, and pancreatic cancers. Similarly, InsDel2a was most active in colon, esophagus, lymphoid, stomach, and uterine cancers, while InsDel2b was more enriched in myeloid malignancies</w:t>
      </w:r>
      <w:r>
        <w:rPr>
          <w:rFonts w:hint="eastAsia"/>
        </w:rPr>
        <w:t xml:space="preserve"> (</w:t>
      </w:r>
      <w:r>
        <w:rPr/>
        <w:t xml:space="preserve">Figure </w:t>
      </w:r>
      <w:r>
        <w:rPr>
          <w:rFonts w:hint="eastAsia"/>
        </w:rPr>
        <w:t>4a</w:t>
      </w:r>
      <w:r>
        <w:rPr/>
        <w:t>).</w:t>
      </w:r>
    </w:p>
    <w:p>
      <w:pPr>
        <w:pStyle w:val="Normal"/>
        <w:rPr/>
      </w:pPr>
      <w:r>
        <w:rPr/>
        <w:t xml:space="preserve">We further analyzed the correlations between our </w:t>
      </w:r>
      <w:r>
        <w:rPr>
          <w:rFonts w:hint="eastAsia"/>
        </w:rPr>
        <w:t>Indel</w:t>
      </w:r>
      <w:r>
        <w:rPr/>
        <w:t xml:space="preserve"> signature activities and SBS signature activities from Degasperi et al. in both PCAWG and HMF samples (Table S</w:t>
      </w:r>
      <w:r>
        <w:rPr>
          <w:rFonts w:hint="eastAsia"/>
        </w:rPr>
        <w:t>2&amp;S3</w:t>
      </w:r>
      <w:r>
        <w:rPr/>
        <w:t xml:space="preserve">). Correlation analysis revealed that Koh89 signatures can distinguish more nuanced mutational processes—showing distinct correlation patterns </w:t>
      </w:r>
      <w:r>
        <w:rPr>
          <w:rFonts w:hint="eastAsia"/>
        </w:rPr>
        <w:t>with SBS signatures</w:t>
      </w:r>
      <w:r>
        <w:rPr/>
        <w:t>—highlighting the greater resolution and specificity provided by the Koh89 taxonomy compared to COSMIC83. Unsupervised hierarchical clustering (see Methods) grouped mutational signatures into distinct biological modules. The APOBEC cluster (SBS2 and SBS13) showed moderate correlations with InsDel24b and InsDel5b. The homologous recombination deficiency (dHR) cluster (SBS3 and SBS8) exhibited strong associations with C_ID6 and InsDel6 (Figure 5, “HR defects”). UV exposure-related signatures (SBS7a, C_ID13, and InsDel13) also formed a distinct group. The “</w:t>
      </w:r>
      <w:r>
        <w:rPr>
          <w:rFonts w:hint="eastAsia"/>
        </w:rPr>
        <w:t>Liver</w:t>
      </w:r>
      <w:r>
        <w:rPr/>
        <w:t>” cluster highlights that H_ID25 and InsDel5b, two signatures with clock-like mutational patterns, likely represent a clock-like process in liver cancer, as they show strong correlations with SBS12 and SBS16, which are both commonly observed in liver tumors.</w:t>
      </w:r>
      <w:r>
        <w:rPr>
          <w:rFonts w:hint="eastAsia"/>
        </w:rPr>
        <w:t xml:space="preserve"> </w:t>
      </w:r>
      <w:r>
        <w:rPr/>
        <w:t>Notably, a strong correlation network was observed among mismatch repair (MMR) deficiency signatures, specifically linking SBS6, SBS26, SBS44, and a range of indel signatures including C_ID2, InsDel2b, InsDel2c, C_ID7, H_ID33, InsDel33, H_ID34, H_ID37, H_ID38, and InsDel38 (Figure 5, “MMR defects”).</w:t>
      </w:r>
      <w:r>
        <w:rPr>
          <w:rFonts w:hint="eastAsia"/>
        </w:rPr>
        <w:t xml:space="preserve"> </w:t>
      </w:r>
      <w:r>
        <w:rPr/>
        <w:t xml:space="preserve">The Koh89 taxonomy provided finer resolution of mutational processes. The four Koh89 signatures derived from C_ID1—InsDel1a to InsDel1d—exhibited distinct correlation patterns, illustrating the refined resolution provided by indel signature analysis. Notably, only InsDel1a closely mirrored the correlation profile of C_ID1, indicating that it most accurately recapitulates the original signature. In contrast, InsDel1b frequently co-occurred with gastrointestinal-associated signatures such as SBS88, SBS17, and SBS93 within the “GI-ROS” </w:t>
      </w:r>
      <w:r>
        <w:rPr>
          <w:rFonts w:hint="eastAsia"/>
        </w:rPr>
        <w:t>(</w:t>
      </w:r>
      <w:r>
        <w:rPr/>
        <w:t>“Gastrointestinal</w:t>
      </w:r>
      <w:r>
        <w:rPr>
          <w:rFonts w:hint="eastAsia"/>
        </w:rPr>
        <w:t>-</w:t>
      </w:r>
      <w:r>
        <w:rPr/>
        <w:t>Reactive Oxygen Species</w:t>
      </w:r>
      <w:r>
        <w:rPr>
          <w:rFonts w:hint="eastAsia"/>
        </w:rPr>
        <w:t xml:space="preserve">) </w:t>
      </w:r>
      <w:r>
        <w:rPr/>
        <w:t xml:space="preserve">cluster, while InsDel1c was more specifically associated with SBS44. InsDel1d showed moderate correlations with SBS9, SBS17, and SBS28, which are </w:t>
      </w:r>
      <w:r>
        <w:rPr>
          <w:rFonts w:hint="eastAsia"/>
        </w:rPr>
        <w:t xml:space="preserve">predominantly </w:t>
      </w:r>
      <w:r>
        <w:rPr/>
        <w:t>characterized by T&gt;C and T&gt;G substitutions.</w:t>
      </w:r>
    </w:p>
    <w:p>
      <w:pPr>
        <w:pStyle w:val="Normal"/>
        <w:rPr/>
      </w:pPr>
      <w:r>
        <w:rPr/>
        <w:t>These correlation profiles also offer insights into the potential etiologies of previously uncharacterized SBS signatures. For example, SBS92 demonstrated a correlation profile highly similar to SBS4, particularly through strong associations with C_ID3 and InsDel3, suggesting a possible link to tobacco smoking (Figure 5, “Lung Tobacco Smoking”). Within the GI-ROS cluster—encompassing signatures prevalent in gastrointestinal tumors such as SBS17, SBS18 (ROS), SBS1 (5-mC deamination</w:t>
      </w:r>
      <w:r>
        <w:rPr>
          <w:rFonts w:hint="eastAsia"/>
        </w:rPr>
        <w:t xml:space="preserve"> which can be partially induced by ROS</w:t>
      </w:r>
      <w:r>
        <w:rPr/>
        <w:t>), SBS88 (colibactin exposure), and SBS93—we found that C_ID14, C_ID18, InsDel18, and H_ID27 are more strongly correlated with signatures frequently observed in the GI tract. In contrast, C_ID1, C_ID2, and InsDel2a showed stronger correlations with SBS1 and SBS17, indicative of ROS-associated mutagenic processes (Figure 5, “GI-ROS”).</w:t>
      </w:r>
    </w:p>
    <w:p>
      <w:pPr>
        <w:pStyle w:val="Heading2"/>
        <w:ind w:hanging="0" w:start="0"/>
        <w:rPr>
          <w:rFonts w:hint="eastAsia"/>
        </w:rPr>
      </w:pPr>
      <w:r>
        <w:rPr>
          <w:rFonts w:hint="eastAsia"/>
        </w:rPr>
        <w:t>Topography of Indel mutational signatures</w:t>
      </w:r>
    </w:p>
    <w:p>
      <w:pPr>
        <w:pStyle w:val="Normal"/>
        <w:rPr/>
      </w:pPr>
      <w:r>
        <w:rPr/>
        <w:t>We evaluated the interplay between our CO</w:t>
      </w:r>
      <w:r>
        <w:rPr>
          <w:rFonts w:hint="eastAsia"/>
        </w:rPr>
        <w:t>S</w:t>
      </w:r>
      <w:r>
        <w:rPr/>
        <w:t xml:space="preserve">MIC83 signatures and certain genomic topographical features. Transcription-coupled nucleotide excision repair was known to cause transcription strand asymmetries, </w:t>
      </w:r>
      <w:r>
        <w:rPr>
          <w:rFonts w:hint="eastAsia"/>
        </w:rPr>
        <w:t>si</w:t>
      </w:r>
      <w:r>
        <w:rPr/>
        <w:t>nce DNA bulky adducts on the transcribed strand will be preferentially repaired in the transcription active region across the genome</w:t>
      </w:r>
      <w:r>
        <w:rPr>
          <w:rFonts w:hint="eastAsia"/>
        </w:rPr>
        <w:t xml:space="preserve"> (add cite)</w:t>
      </w:r>
      <w:r>
        <w:rPr/>
        <w:t xml:space="preserve">. Transcription strand asymmetries were shown in 20 out of 33 COSMIC83 signatures (Figure </w:t>
      </w:r>
      <w:r>
        <w:rPr>
          <w:rFonts w:hint="eastAsia"/>
        </w:rPr>
        <w:t>6A &amp; S4C</w:t>
      </w:r>
      <w:r>
        <w:rPr/>
        <w:t xml:space="preserve">, Table </w:t>
      </w:r>
      <w:r>
        <w:rPr>
          <w:rFonts w:hint="eastAsia"/>
        </w:rPr>
        <w:t>S4</w:t>
      </w:r>
      <w:r>
        <w:rPr/>
        <w:t xml:space="preserve">). Signatures attributed to exogenous mutational processes, such as C_ID3 (Tobacco smoking exposure), C_ID14 (GI-platinum treatment associated) and C_ID18 (Colibactin exposure), showed consistent transcription strand bias </w:t>
      </w:r>
      <w:r>
        <w:rPr>
          <w:rFonts w:hint="eastAsia"/>
        </w:rPr>
        <w:t>with</w:t>
      </w:r>
      <w:r>
        <w:rPr/>
        <w:t xml:space="preserve"> mutations enriched in the transcribed strand. Another exogenous mutational signature C_ID13, which is attributed to UV exposure, showed enrichment in the un-transcribed strand. This is due to the damage caused by UV happened on cytosine instead of guanine. In COSMIC83 signatures associated with defective endogenous mutational processes, enriched mutations on the un-transcribed strand was observed for C_ID1(Slippage during DNA replication) and C_ID5(Clock-like signature), while enriched mutations on the transcribed strand was observed for C_ID29 (TOP1-mediated mutagenesis). Interestingly, 4 defective MMR signatures also showed transcription strand asymmetries in different directions, with two of them (H_ID33 and H_ID37) having enriched mutations on the un-transcribed strand, and two of them (H_ID7 and H_ID34) having enriched mutations on the transcribed strand. Replication strand asymmetries were observed in 18 out of 33 CO</w:t>
      </w:r>
      <w:r>
        <w:rPr>
          <w:rFonts w:hint="eastAsia"/>
        </w:rPr>
        <w:t>S</w:t>
      </w:r>
      <w:r>
        <w:rPr/>
        <w:t xml:space="preserve">MIC83 signatures (Figure </w:t>
      </w:r>
      <w:r>
        <w:rPr>
          <w:rFonts w:hint="eastAsia"/>
        </w:rPr>
        <w:t>6B &amp; S4B</w:t>
      </w:r>
      <w:r>
        <w:rPr/>
        <w:t xml:space="preserve">, Table </w:t>
      </w:r>
      <w:r>
        <w:rPr>
          <w:rFonts w:hint="eastAsia"/>
        </w:rPr>
        <w:t>S4</w:t>
      </w:r>
      <w:r>
        <w:rPr/>
        <w:t>).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on the leading strand (H_ID34) or on the lagging strand (C_ID7 and H_ID33).</w:t>
      </w:r>
    </w:p>
    <w:p>
      <w:pPr>
        <w:pStyle w:val="Normal"/>
        <w:rPr/>
      </w:pPr>
      <w:r>
        <w:rPr/>
        <w:t>We also examined the mutation enrichment of COSMIC83 signatures in genic and intergenic regions</w:t>
      </w:r>
      <w:r>
        <w:rPr>
          <w:rFonts w:hint="eastAsia"/>
        </w:rPr>
        <w:t xml:space="preserve"> (Figure S4A)</w:t>
      </w:r>
      <w:r>
        <w:rPr/>
        <w:t>. Most signatures showed mutation bias towards intergenic regions, while 8 signatures showed enrichment in genic regions</w:t>
      </w:r>
      <w:r>
        <w:rPr>
          <w:rFonts w:hint="eastAsia"/>
        </w:rPr>
        <w:t xml:space="preserve"> (</w:t>
      </w:r>
      <w:r>
        <w:rPr/>
        <w:t xml:space="preserve">Figure </w:t>
      </w:r>
      <w:r>
        <w:rPr>
          <w:rFonts w:hint="eastAsia"/>
        </w:rPr>
        <w:t>6C)</w:t>
      </w:r>
      <w:r>
        <w:rPr/>
        <w:t xml:space="preserve">. Among the 8 signatures, 5 of them were associated with defective endogenous mutational processes, including C_ID17(TOP2A K743N mediated mutagenesis), H_ID29(TOP1-mediated mutagenesis), </w:t>
      </w:r>
      <w:r>
        <w:rPr>
          <w:rFonts w:hint="eastAsia"/>
        </w:rPr>
        <w:t>a</w:t>
      </w:r>
      <w:r>
        <w:rPr/>
        <w:t>nd 3 defective MMR signatures (C_ID7, H_ID33 and H_ID37). Another 3 signatures with mutation enriched in genic regions were of unknown etiology (C_ID10, H_ID30, H_ID31).</w:t>
      </w:r>
    </w:p>
    <w:p>
      <w:pPr>
        <w:pStyle w:val="Normal"/>
        <w:rPr/>
      </w:pPr>
      <w:r>
        <w:rPr/>
        <w:t>The effect of DNA replication timing was also observed in many COSMIC83 signatures</w:t>
      </w:r>
      <w:r>
        <w:rPr>
          <w:rFonts w:hint="eastAsia"/>
        </w:rPr>
        <w:t xml:space="preserve"> (Figure 6D &amp; S5)</w:t>
      </w:r>
      <w:r>
        <w:rPr/>
        <w:t>. Most signatures were consistently enriched in late-replicating regions across different cancer types, while only one signature C_ID17 (TOP2A K743N mediated mutagenesis) showed enrichment in early-replicating regions. Four signatures were un-affected by replication timing in the majority of cancers presenting this signature, including C_ID1 (Slippage during DNA replication), C_ID5 (Clock-like signature), C_ID13 (Ultraviolet light exposure), C_ID18 (Colibactin exposure). Interestingly, Several signatures showed cancer-specific enrichment in replication timing, especially for defective MMR signatures. In the 5 defective MMR signatures, C_ID7, C_ID33 and C_ID34 showed enriched mutations in early replication regions in breast cancer, while C_ID37 and C_ID38 showed this enrichment in colon cancer and stomach cancer, respectively.</w:t>
      </w:r>
    </w:p>
    <w:p>
      <w:pPr>
        <w:pStyle w:val="Heading2"/>
        <w:ind w:hanging="0" w:start="0"/>
        <w:rPr/>
      </w:pPr>
      <w:r>
        <w:rPr/>
        <w:t>Novel Signatures</w:t>
      </w:r>
    </w:p>
    <w:p>
      <w:pPr>
        <w:pStyle w:val="Normal"/>
        <w:rPr/>
      </w:pPr>
      <w:r>
        <w:rPr/>
        <w:t>M</w:t>
      </w:r>
      <w:r>
        <w:rPr>
          <w:rFonts w:hint="eastAsia"/>
        </w:rPr>
        <w:t>icrosatellite Instability associated</w:t>
      </w:r>
      <w:r>
        <w:rPr/>
        <w:t xml:space="preserve"> signatures in both COSMIC83 and Koh89 classifications</w:t>
      </w:r>
    </w:p>
    <w:p>
      <w:pPr>
        <w:pStyle w:val="Normal"/>
        <w:rPr/>
      </w:pPr>
      <w:r>
        <w:rPr>
          <w:shd w:fill="FFFF00" w:val="clear"/>
        </w:rPr>
        <w:t>&lt;change order of presentation, lead with better opportunity to analyze MSI signatures&gt; Some microsatellite stable (MSS) tumors exhibit a high ratio of microsatellite instability (MSI) signature activity, likely due to strong MSI characteristics, such as elevated indel rates and single-base substitution (SBS) mutation loads, despite their MSS classification.</w:t>
      </w:r>
      <w:r>
        <w:rPr/>
        <w:t xml:space="preserve"> Although MSI status was provided in the PCAWG and HMF datasets</w:t>
      </w:r>
      <w:r>
        <w:rPr>
          <w:rFonts w:hint="eastAsia"/>
        </w:rPr>
        <w:t xml:space="preserve"> </w:t>
      </w:r>
      <w:r>
        <w:fldChar w:fldCharType="begin"/>
      </w:r>
      <w:r>
        <w:rPr>
          <w:rFonts w:hint="eastAsia"/>
        </w:rPr>
        <w:instrText xml:space="preserve">ADDIN ZOTERO_ITEM CSL_CITATION {"citationID":"e2clggfU","properties":{"formattedCitation":"(Mart\\uc0\\u237{}nez-Jim\\uc0\\u233{}nez et al. 2023; Bavi et al. 2020)","plainCitation":"(Martínez-Jiménez et al. 2023; Bavi et al. 2020)","noteIndex":0},"citationItems":[{"id":"LB8OR9DJ/hfxcak8g","uris":["http://zotero.org/users/14858941/items/7KY3QWQK"],"itemData":{"id":912,"type":"article-journal","abstract":"Abstract\n            \n              Metastatic cancer remains an almost inevitably lethal disease\n              1–3\n              . A better understanding of disease progression and response to therapies therefore remains of utmost importance. Here we characterize the genomic differences between early-stage untreated primary tumours and late-stage treated metastatic tumours using a harmonized pan-cancer analysis (or reanalysis) of two unpaired primary\n              4\n              and metastatic\n              5\n              cohorts of 7,108 whole-genome-sequenced tumours. Metastatic tumours in general have a lower intratumour heterogeneity and a conserved karyotype, displaying only a modest increase in mutations, although frequencies of structural variants are elevated overall. Furthermore, highly variable tumour-specific contributions of mutational footprints of endogenous (for example, SBS1 and APOBEC) and exogenous mutational processes (for example, platinum treatment) are present. The majority of cancer types had either moderate genomic differences (for example, lung adenocarcinoma) or highly consistent genomic portraits (for example, ovarian serous carcinoma) when comparing early-stage and late-stage disease. Breast, prostate, thyroid and kidney renal clear cell carcinomas and pancreatic neuroendocrine tumours are clear exceptions to the rule, displaying an extensive transformation of their genomic landscape in advanced stages. Exposure to treatment further scars the tumour genome and introduces an evolutionary bottleneck that selects for known therapy-resistant drivers in approximately half of treated patients. Our data showcase the potential of pan-cancer whole-genome analysis to identify distinctive features of late-stage tumours and provide a valuable resource to further investigate the biological basis of cancer and resistance to therapies.","container-title":"Nature","DOI":"10.1038/s41586-023-06054-z","ISSN":"0028-0836, 1476-4687","issue":"7964","journalAbbreviation":"Nature","language":"en","page":"333-341","source":"DOI.org (Crossref)","title":"Pan-cancer whole-genome comparison of primary and metastatic solid tumours","volume":"618","author":[{"family":"Martínez-Jiménez","given":"Francisco"},{"family":"Movasati","given":"Ali"},{"family":"Brunner","given":"Sascha Remy"},{"family":"Nguyen","given":"Luan"},{"family":"Priestley","given":"Peter"},{"family":"Cuppen","given":"Edwin"},{"family":"Van Hoeck","given":"Arne"}],"issued":{"date-parts":[["2023",6,8]]}}},{"id":"LB8OR9DJ/19JtwKmK","uris":["http://zotero.org/users/14858941/items/J5XJQ3EK"],"itemData":{"id":663,"type":"article-journal","abstract":"&lt;p&gt; Cancer is driven by genetic change, and the advent of massively parallel sequencing has enabled systematic documentation of this variation at the whole-genome scale &lt;sup&gt;1–3&lt;/sup&gt; . Here we report the integrative analysis of 2,658 whole-cancer genomes and their matching normal tissues across 38 tumour types from the Pan-Cancer Analysis of Whole Genomes (PCAWG) Consortium of the International Cancer Genome Consortium (ICGC) and The Cancer Genome Atlas (TCGA). We describe the generation of the PCAWG resource, facilitated by international data sharing using compute clouds. On average, cancer genomes contained 4–5 driver mutations when combining coding and non-coding genomic elements; however, in around 5% of cases no drivers were identified, suggesting that cancer driver discovery is not yet complete. Chromothripsis, in which many clustered structural variants arise in a single catastrophic event, is frequently an early event in tumour evolution; in acral melanoma, for example, these events precede most somatic point mutations and affect several cancer-associated genes simultaneously. Cancers with abnormal telomere maintenance often originate from tissues with low replicative activity and show several mechanisms of preventing telomere attrition to critical levels. Common and rare germline variants affect patterns of somatic mutation, including point mutations, structural variants and somatic retrotransposition. A collection of papers from the PCAWG Consortium describes non-coding mutations that drive cancer beyond those in the &lt;italic&gt;TERT&lt;/italic&gt; promoter &lt;sup&gt;4&lt;/sup&gt; ; identifies new signatures of mutational processes that cause base substitutions, small insertions and deletions and structural variation &lt;sup&gt;5,6&lt;/sup&gt; ; analyses timings and patterns of tumour evolution &lt;sup&gt;7&lt;/sup&gt; ; describes the diverse transcriptional consequences of somatic mutation on splicing, expression levels, fusion genes and promoter activity &lt;sup&gt;8,9&lt;/sup&gt; ; and evaluates a range of more-specialized features of cancer genomes &lt;sup&gt;8,10–18&lt;/sup&gt; . &lt;/p&gt;","container-title":"Nature","DOI":"10.1038/s41586-020-1969-6","ISSN":"0028-0836","issue":"7793","page":"82-93","title":"Pan-cancer analysis of whole genomes","volume":"578","author":[{"family":"Bavi","given":"Prashant"},{"family":"Baylin","given":"Stephen B."},{"family":"Bazant","given":"Wojciech"},{"family":"Beardsmore","given":"Duncan"},{"family":"Beck","given":"Timothy A."},{"family":"Behjati","given":"Sam"},{"family":"Behren","given":"Andreas"},{"family":"Niu","given":"Beifang"},{"family":"Bell","given":"Cindy"},{"family":"Beltran","given":"Sergi"},{"family":"Benz","given":"Christopher"},{"family":"Berchuck","given":"Andrew"},{"family":"Bergmann","given":"Anke K."},{"family":"Bergstrom","given":"Erik N."},{"family":"Berman","given":"Benjamin P."},{"family":"Berney","given":"Daniel M."},{"family":"Bernhart","given":"Stephan H."},{"family":"Beroukhim","given":"Rameen"},{"family":"Berrios","given":"Mario"},{"family":"Bersani","given":"Samantha"},{"family":"Bertl","given":"Johanna"},{"family":"Betancourt","given":"Miguel"},{"family":"Bhandari","given":"Vinayak"},{"family":"Bhosle","given":"Shriram G."},{"family":"Biankin","given":"Andrew V."},{"family":"Bieg","given":"Matthias"},{"family":"Bigner","given":"Darell"},{"family":"Binder","given":"Hans"},{"family":"Birney","given":"Ewan"},{"family":"Birrer","given":"Michael"},{"family":"Biswas","given":"Nidhan K."},{"family":"Bjerkehagen","given":"Bodil"},{"family":"Bodenheimer","given":"Tom"},{"family":"Boice","given":"Lori"},{"family":"Bonizzato","given":"Giada"},{"family":"De Bono","given":"Johann S."},{"family":"Boot","given":"Arnoud"},{"family":"Bootwalla","given":"Moiz S."},{"family":"Borg","given":"Ake"},{"family":"Borkhardt","given":"Arndt"},{"family":"Boroevich","given":"Keith A."},{"family":"Borozan","given":"Ivan"},{"family":"Borst","given":"Christoph"},{"family":"Bosenberg","given":"Marcus"},{"family":"Bosio","given":"Mattia"},{"family":"Boultwood","given":"Jacqueline"},{"family":"Bourque","given":"Guillaume"},{"family":"Boutros","given":"Paul C."},{"family":"Bova","given":"G. Steven"},{"family":"Bowen","given":"David T."},{"family":"Bowlby","given":"Reanne"},{"family":"Bowtell","given":"David D. L."},{"family":"Boyault","given":"Sandrine"},{"family":"Boyce","given":"Rich"},{"family":"Boyd","given":"Jeffrey"},{"family":"Brazma","given":"Alvis"},{"family":"Brennan","given":"Paul"},{"family":"Brewer","given":"Daniel S."},{"family":"Brinkman","given":"Arie B."},{"family":"Bristow","given":"Robert G."},{"family":"Broaddus","given":"Russell R."},{"family":"Brock","given":"Jane E."},{"family":"Brock","given":"Malcolm"},{"family":"Broeks","given":"Annegien"},{"family":"Brooks","given":"Angela N."},{"family":"Brooks","given":"Denise"},{"family":"Brors","given":"Benedikt"},{"family":"Brunak","given":"Søren"},{"family":"Bruxner","given":"Timothy J. C."},{"family":"Bruzos","given":"Alicia L."},{"family":"Buchanan","given":"Alex"},{"family":"Buchhalter","given":"Ivo"},{"family":"Buchholz","given":"Christiane"},{"family":"Bullman","given":"Susan"},{"family":"Burke","given":"Hazel"},{"family":"Burkhardt","given":"Birgit"},{"family":"Burns","given":"Kathleen H."},{"family":"Busanovich","given":"John"},{"family":"Bustamante","given":"Carlos D."},{"family":"Butler","given":"Adam P."},{"family":"Butte","given":"Atul J."},{"family":"Byrne","given":"Niall J."},{"family":"Børresen-Dale","given":"Anne-Lise"},{"family":"Caesar-Johnson","given":"Samantha J."},{"family":"Cafferkey","given":"Andy"},{"family":"Cahill","given":"Declan"},{"family":"Calabrese","given":"Claudia"},{"family":"Caldas","given":"Carlos"},{"family":"Calvo","given":"Fabien"},{"family":"Camacho","given":"Niedzica"},{"family":"Campbell","given":"Peter J."},{"family":"Campo","given":"Elias"},{"family":"Cantù","given":"Cinzia"},{"family":"Cao","given":"Shaolong"},{"family":"Carey","given":"Thomas E."},{"family":"Carlevaro-Fita","given":"Joana"},{"family":"Carlsen","given":"Rebecca"},{"family":"Cataldo","given":"Ivana"},{"family":"Cazzola","given":"Mario"},{"family":"Cebon","given":"Jonathan"},{"family":"Cerfolio","given":"Robert"},{"family":"Chadwick","given":"Dianne E."},{"family":"Chakravarty","given":"Dimple"},{"family":"Chalmers","given":"Don"},{"family":"Chan","given":"Calvin Wing Yiu"},{"family":"Chan","given":"Kin"},{"family":"Chan-Seng-Yue","given":"Michelle"},{"family":"Chandan","given":"Vishal S."},{"family":"Chang","given":"David K."},{"family":"Chanock","given":"Stephen J."},{"family":"Chantrill","given":"Lorraine A."},{"family":"Chateigner","given":"Aurélien"},{"family":"Chatterjee","given":"Nilanjan"},{"family":"Chayama","given":"Kazuaki"},{"family":"Chen","given":"Hsiao-Wei"},{"family":"Chen","given":"Jieming"},{"family":"Chen","given":"Ken"},{"family":"Chen","given":"Yiwen"},{"family":"Chen","given":"Zhaohong"},{"family":"Cherniack","given":"Andrew D."},{"family":"Chien","given":"Jeremy"},{"family":"Chiew","given":"Yoke-Eng"},{"family":"Chin","given":"Suet-Feung"},{"family":"Cho","given":"Juok"},{"family":"Cho","given":"Sunghoon"},{"family":"Choi","given":"Jung Kyoon"},{"family":"Choi","given":"Wan"},{"family":"Chomienne","given":"Christine"},{"family":"Chong","given":"Zechen"},{"family":"Choo","given":"Su Pin"},{"family":"Chou","given":"Angela"},{"family":"Christ","given":"Angelika N."},{"family":"Christie","given":"Elizabeth L."},{"family":"Chuah","given":"Eric"},{"family":"Cibulskis","given":"Carrie"},{"family":"Cibulskis","given":"Kristian"},{"family":"Cingarlini","given":"Sara"},{"family":"Clapham","given":"Peter"},{"family":"Claviez","given":"Alexander"},{"family":"Cleary","given":"Sean"},{"family":"Cloonan","given":"Nicole"},{"family":"Cmero","given":"Marek"},{"family":"Collins","given":"Colin C."},{"family":"Connor","given":"Ashton A."},{"family":"Cooke","given":"Susanna L."},{"family":"Cooper","given":"Colin S."},{"family":"Cope","given":"Leslie"},{"family":"Corbo","given":"Vincenzo"},{"family":"Cordes","given":"Matthew G."},{"family":"Cordner","given":"Stephen M."},{"family":"Cortés-Ciriano","given":"Isidro"},{"family":"Covington","given":"Kyle"},{"family":"Cowin","given":"Prue A."},{"family":"Craft","given":"Brian"},{"family":"Craft","given":"David"},{"family":"Creighton","given":"Chad J."},{"family":"Cun","given":"Yupeng"},{"family":"Curley","given":"Erin"},{"family":"Cutcutache","given":"Ioana"},{"family":"Czajka","given":"Karolina"},{"family":"Czerniak","given":"Bogdan"},{"family":"Dagg","given":"Rebecca A."},{"family":"Danilova","given":"Ludmila"},{"family":"Davi","given":"Maria Vittoria"},{"family":"Davidson","given":"Natalie R."},{"family":"Davies","given":"Helen"},{"family":"Davis","given":"Ian J."},{"family":"Davis-Dusenbery","given":"Brandi N."},{"family":"Dawson","given":"Kevin J."},{"family":"De La Vega","given":"Francisco M."},{"family":"De Paoli-Iseppi","given":"Ricardo"},{"family":"Defreitas","given":"Timothy"},{"family":"Tos","given":"Angelo P. Dei"},{"family":"Delaneau","given":"Olivier"},{"family":"Demchok","given":"John A."},{"family":"Demeulemeester","given":"Jonas"},{"family":"Demidov","given":"German M."},{"family":"Demircioğlu","given":"Deniz"},{"family":"Dennis","given":"Nening M."},{"family":"Denroche","given":"Robert E."},{"family":"Dentro","given":"Stefan C."},{"family":"Desai","given":"Nikita"},{"family":"Deshpande","given":"Vikram"},{"family":"Deshwar","given":"Amit G."},{"family":"Desmedt","given":"Christine"},{"family":"Deu-Pons","given":"Jordi"},{"family":"Dhalla","given":"Noreen"},{"family":"Dhani","given":"Neesha C."},{"family":"Dhingra","given":"Priyanka"},{"family":"Dhir","given":"Rajiv"},{"family":"DiBiase","given":"Anthony"},{"family":"Diamanti","given":"Klev"},{"family":"Ding","given":"Li"},{"family":"Ding","given":"Shuai"},{"family":"Dinh","given":"Huy Q."},{"family":"Dirix","given":"Luc"},{"family":"Doddapaneni","given":"HarshaVardhan"},{"family":"Donmez","given":"Nilgun"},{"family":"Dow","given":"Michelle T."},{"family":"Drapkin","given":"Ronny"},{"family":"Drechsel","given":"Oliver"},{"family":"Drews","given":"Ruben M."},{"family":"Serge","given":"Serge"},{"family":"Dudderidge","given":"Tim"},{"family":"Dueso-Barroso","given":"Ana"},{"family":"Dunford","given":"Andrew J."},{"family":"Dunn","given":"Michael"},{"family":"Dursi","given":"Lewis Jonathan"},{"family":"Duthie","given":"Fraser R."},{"family":"Dutton-Regester","given":"Ken"},{"family":"Eagles","given":"Jenna"},{"family":"Easton","given":"Douglas F."},{"family":"Edmonds","given":"Stuart"},{"family":"Edwards","given":"Paul A."},{"family":"Edwards","given":"Sandra E."},{"family":"Eeles","given":"Rosalind A."},{"family":"Ehinger","given":"Anna"},{"family":"Eils","given":"Juergen"},{"family":"Eils","given":"Roland"},{"family":"El-Naggar","given":"Adel"},{"family":"Eldridge","given":"Matthew"},{"family":"Ellrott","given":"Kyle"},{"family":"Erkek","given":"Serap"},{"family":"Escaramis","given":"Georgia"},{"family":"Espiritu","given":"Shadrielle M. G."},{"family":"Estivill","given":"Xavier"},{"family":"Etemadmoghadam","given":"Dariush"},{"family":"Eyfjord","given":"Jorunn E."},{"family":"Faltas","given":"Bishoy M."},{"family":"Fan","given":"Daiming"},{"family":"Faquin","given":"William C."},{"family":"Farcas","given":"Claudiu"},{"family":"Fassan","given":"Matteo"},{"family":"Fatima","given":"Aquila"},{"family":"Favero","given":"Francesco"},{"family":"Fayzullaev","given":"Nodirjon"},{"family":"Felau","given":"Ina"},{"family":"Fereday","given":"Sian"},{"family":"Ferguson","given":"Martin L."},{"family":"Ferretti","given":"Vincent"},{"family":"Feuerbach","given":"Lars"},{"family":"Field","given":"Matthew A."},{"family":"Fink","given":"J. Lynn"},{"family":"Finocchiaro","given":"Gaetano"},{"family":"Fisher","given":"Cyril"},{"family":"Fittall","given":"Matthew W."},{"family":"Fitzgerald","given":"Anna"},{"family":"Fitzgerald","given":"Rebecca C."},{"family":"Flanagan","given":"Adrienne M."},{"family":"Fleshner","given":"Neil E."},{"family":"Flicek","given":"Paul"},{"family":"Foekens","given":"John A."},{"family":"Fong","given":"Kwun M."},{"family":"Fonseca","given":"Nuno A."},{"family":"Foster","given":"Christopher S."},{"family":"Fox","given":"Natalie S."},{"family":"Fraser","given":"Michael"},{"family":"Frazer","given":"Scott"},{"family":"Frenkel-Morgenstern","given":"Milana"},{"family":"Friedman","given":"William"},{"family":"Frigola","given":"Joan"},{"family":"Fronick","given":"Catrina C."},{"family":"Fujimoto","given":"Akihiro"},{"family":"Fujita","given":"Masashi"},{"family":"Fukayama","given":"Masashi"},{"family":"Fulton","given":"Lucinda A."},{"family":"Fulton","given":"Robert S."},{"family":"Furuta","given":"Mayuko"},{"family":"Futreal","given":"P. Andrew"},{"family":"Füllgrabe","given":"Anja"},{"family":"Gabriel","given":"Stacey B."},{"family":"Gallinger","given":"Steven"},{"family":"Gambacorti-Passerini","given":"Carlo"},{"family":"Gao","given":"Jianjiong"},{"family":"Gao","given":"Shengjie"},{"family":"Garraway","given":"Levi"},{"family":"Garred","given":"Øystein"},{"family":"Garrison","given":"Erik"},{"family":"Garsed","given":"Dale W."},{"family":"Gehlenborg","given":"Nils"},{"family":"Gelpi","given":"Josep L. L."},{"family":"George","given":"Joshy"},{"family":"Gerhard","given":"Daniela S."},{"family":"Gerhauser","given":"Clarissa"},{"family":"Gershenwald","given":"Jeffrey E."},{"family":"Gerstein","given":"Mark"},{"family":"Gerstung","given":"Moritz"},{"family":"Getz","given":"Gad"},{"family":"Ghori","given":"Mohammed"},{"family":"Ghossein","given":"Ronald"},{"family":"Giama","given":"Nasra H."},{"family":"Gibbs","given":"Richard A."},{"family":"Gibson","given":"Bob"},{"family":"Gill","given":"Anthony J."},{"family":"Gill","given":"Pelvender"},{"family":"Giri","given":"Dilip D."},{"family":"Glodzik","given":"Dominik"},{"family":"Gnanapragasam","given":"Vincent J."},{"family":"Goebler","given":"Maria Elisabeth"},{"family":"Goldman","given":"Mary J."},{"family":"Gomez","given":"Carmen"},{"family":"Gonzalez","given":"Santiago"},{"family":"Gonzalez-Perez","given":"Abel"},{"family":"Gordenin","given":"Dmitry A."},{"family":"Gossage","given":"James"},{"family":"Gotoh","given":"Kunihito"},{"family":"Govindan","given":"Ramaswamy"},{"family":"Grabau","given":"Dorthe"},{"family":"Graham","given":"Janet S."},{"family":"Grant","given":"Robert C."},{"family":"Green","given":"Anthony R."},{"family":"Green","given":"Eric"},{"family":"Greger","given":"Liliana"},{"family":"Grehan","given":"Nicola"},{"family":"Grimaldi","given":"Sonia"},{"family":"Grimmond","given":"Sean M."},{"family":"Grossman","given":"Robert L."},{"family":"Gundem","given":"Gunes"},{"family":"Guo","given":"Qianyun"},{"family":"Gupta","given":"Manaswi"},{"family":"Gupta","given":"Shailja"},{"family":"Gut","given":"Ivo G."},{"family":"Gut","given":"Marta"},{"family":"Göke","given":"Jonathan"},{"family":"Ha","given":"Gavin"},{"family":"Haake","given":"Andrea"},{"family":"Haan","given":"David"},{"family":"Haas","given":"Siegfried"},{"family":"Haase","given":"Kerstin"},{"family":"Haber","given":"James E."},{"family":"Habermann","given":"Nina"},{"family":"Hach","given":"Faraz"},{"family":"Haider","given":"Syed"},{"family":"Hama","given":"Natsuko"},{"family":"Hamdy","given":"Freddie C."},{"family":"Hamilton","given":"Anne"},{"family":"Hamilton","given":"Mark P."},{"family":"Han","given":"Leng"},{"family":"Hanna","given":"George B."},{"family":"Hansmann","given":"Martin"},{"family":"Haradhvala","given":"Nicholas J."},{"family":"Harismendy","given":"Olivier"},{"family":"Harliwong","given":"Ivon"},{"family":"Harmanci","given":"Arif O."},{"family":"Harrington","given":"Eoghan"},{"family":"Hasegawa","given":"Takanori"},{"family":"Haussler","given":"David"},{"family":"Hawkins","given":"Steve"},{"family":"Hayami","given":"Shinya"},{"family":"Hayashi","given":"Shuto"},{"family":"Hayes","given":"D. Neil"},{"family":"Hayes","given":"Stephen J."},{"family":"Hayward","given":"Nicholas K."},{"family":"Hazell","given":"Steven"},{"family":"He","given":"Yao"},{"family":"Heath","given":"Allison P."},{"family":"Heath","given":"Simon C."},{"family":"Hedley","given":"David"},{"family":"Hegde","given":"Apurva M."},{"family":"Heiman","given":"David I."},{"family":"Heinold","given":"Michael C."},{"family":"Heins","given":"Zachary"},{"family":"Heisler","given":"Lawrence E."},{"family":"Hellstrom-Lindberg","given":"Eva"},{"family":"Helmy","given":"Mohamed"},{"family":"Heo","given":"Seong Gu"},{"family":"Hepperla","given":"Austin J."},{"family":"Heredia-Genestar","given":"José María"},{"family":"Herrmann","given":"Carl"},{"family":"Hersey","given":"Peter"},{"family":"Hess","given":"Julian M."},{"family":"Hilmarsdottir","given":"Holmfridur"},{"family":"Hinton","given":"Jonathan"},{"family":"Hirano","given":"Satoshi"},{"family":"Hiraoka","given":"Nobuyoshi"},{"family":"Hoadley","given":"Katherine A."},{"family":"Hobolth","given":"Asger"},{"family":"Hodzic","given":"Ermin"},{"family":"Hoell","given":"Jessica I."},{"family":"Hoffmann","given":"Steve"},{"family":"Hofmann","given":"Oliver"},{"family":"Holbrook","given":"Andrea"},{"family":"Holik","given":"Aliaksei Z."},{"family":"Hollingsworth","given":"Michael A."},{"family":"Holmes","given":"Oliver"},{"family":"Holt","given":"Robert A."},{"family":"Hong","given":"Chen"},{"family":"Hong","given":"Eun Pyo"},{"family":"Hong","given":"Jongwhi H."},{"family":"Hooijer","given":"Gerrit K."},{"family":"Hornshøj","given":"Henrik"},{"family":"Hosoda","given":"Fumie"},{"family":"Hou","given":"Yong"},{"family":"Hovestadt","given":"Volker"},{"family":"Howat","given":"William"},{"family":"Hoyle","given":"Alan P."},{"family":"Hruban","given":"Ralph H."},{"family":"Hu","given":"Jianhong"},{"family":"Hu","given":"Taobo"},{"family":"Hua","given":"Xing"},{"family":"Huang","given":"Kuan-lin"},{"family":"Huang","given":"Mei"},{"family":"Huang","given":"Mi Ni"},{"family":"Huang","given":"Vincent"},{"family":"Huang","given":"Yi"},{"family":"Huber","given":"Wolfgang"},{"family":"Hudson","given":"Thomas J."},{"family":"Hummel","given":"Michael"},{"family":"Hung","given":"Jillian A."},{"family":"Huntsman","given":"David"},{"family":"Hupp","given":"Ted R."},{"family":"Huse","given":"Jason"},{"family":"Huska","given":"Matthew R."},{"family":"Hutter","given":"Barbara"},{"family":"Hutter","given":"Carolyn M."},{"family":"Hübschmann","given":"Daniel"},{"family":"Iacobuzio-Donahue","given":"Christine A."},{"family":"Imbusch","given":"Charles David"},{"family":"Imielinski","given":"Marcin"},{"family":"Imoto","given":"Seiya"},{"family":"Isaacs","given":"William B."},{"family":"Isaev","given":"Keren"},{"family":"Ishikawa","given":"Shumpei"},{"family":"Iskar","given":"Murat"},{"family":"Islam","given":"S. M. Ashiqul"},{"family":"Ittmann","given":"Michael"},{"family":"Ivkovic","given":"Sinisa"},{"family":"Izarzugaza","given":"Jose M. G."},{"family":"Jacquemier","given":"Jocelyne"},{"family":"Jakrot","given":"Valerie"},{"family":"Jamieson","given":"Nigel B."},{"family":"Jang","given":"Gun Ho"},{"family":"Jang","given":"Se Jin"},{"family":"Jayaseelan","given":"Joy C."},{"family":"Jayasinghe","given":"Reyka"},{"family":"Jefferys","given":"Stuart R."},{"family":"Jegalian","given":"Karine"},{"family":"Jennings","given":"Jennifer L."},{"family":"Jeon","given":"Seung-Hyup"},{"family":"Jerman","given":"Lara"},{"family":"Ji","given":"Yuan"},{"family":"Jiao","given":"Wei"},{"family":"Johansson","given":"Peter A."},{"family":"Johns","given":"Amber L."},{"family":"Johns","given":"Jeremy"},{"family":"Johnson","given":"Rory"},{"family":"Johnson","given":"Todd A."},{"family":"Jolly","given":"Clemency"},{"family":"Joly","given":"Yann"},{"family":"Jonasson","given":"Jon G."},{"family":"Jones","given":"Corbin D."},{"family":"Jones","given":"David R."},{"family":"Jones","given":"David T. W."},{"family":"Jones","given":"Nic"},{"family":"Jones","given":"Steven J. M."},{"family":"Jonkers","given":"Jos"},{"family":"Ju","given":"Young Seok"},{"family":"Juhl","given":"Hartmut"},{"family":"Jung","given":"Jongsun"},{"family":"Juul","given":"Malene"},{"family":"Juul","given":"Randi Istrup"},{"family":"Juul","given":"Sissel"},{"family":"Jäger","given":"Natalie"},{"family":"Kahles","given":"Andre"},{"family":"Kahraman","given":"Abdullah"},{"family":"Kaiser","given":"Vera B."},{"family":"Kakavand","given":"Hojabr"},{"family":"Kalimuthu","given":"Sangeetha"},{"family":"Kalle","given":"Christof","non-dropping-particle":"von"},{"family":"Kang","given":"Koo Jeong"},{"family":"Karlan","given":"Beth"},{"family":"Karlić","given":"Rosa"},{"family":"Karsch","given":"Dennis"},{"family":"Kasaian","given":"Katayoon"},{"family":"Kassahn","given":"Karin S."},{"family":"Katai","given":"Hitoshi"},{"family":"Kato","given":"Mamoru"},{"family":"Katoh","given":"Hiroto"},{"family":"Kawakami","given":"Yoshiiku"},{"family":"Kay","given":"Jonathan D."},{"family":"Kazakoff","given":"Stephen H."},{"family":"Kazanov","given":"Marat D."},{"family":"Keays","given":"Maria"},{"family":"Kebebew","given":"Electron"},{"family":"Kefford","given":"Richard F."},{"family":"Kellis","given":"Manolis"},{"family":"Kench","given":"James G."},{"family":"Kennedy","given":"Catherine J."},{"family":"Kerssemakers","given":"Jules N. A."},{"family":"Khoo","given":"David"},{"family":"Khoo","given":"Vincent"},{"family":"Khuntikeo","given":"Narong"},{"family":"Khurana","given":"Ekta"},{"family":"Kilpinen","given":"Helena"},{"family":"Kim","given":"Hark Kyun"},{"family":"Kim","given":"Hyung-Lae"},{"family":"Kim","given":"Hyung-Yong"},{"family":"Kim","given":"Hyunghwan"},{"family":"Kim","given":"Jaegil"},{"family":"Kim","given":"Jihoon"},{"family":"Kim","given":"Jong K."},{"family":"Kim","given":"Youngwook"},{"family":"King","given":"Tari A."},{"family":"Klapper","given":"Wolfram"},{"family":"Kleinheinz","given":"Kortine"},{"family":"Klimczak","given":"Leszek J."},{"family":"Knappskog","given":"Stian"},{"family":"Kneba","given":"Michael"},{"family":"Knoppers","given":"Bartha M."},{"family":"Koh","given":"Youngil"},{"family":"Komorowski","given":"Jan"},{"family":"Komura","given":"Daisuke"},{"family":"Komura","given":"Mitsuhiro"},{"family":"Kong","given":"Gu"},{"family":"Kool","given":"Marcel"},{"family":"Korbel","given":"Jan O."},{"family":"Korchina","given":"Viktoriya"},{"family":"Korshunov","given":"Andrey"},{"family":"Koscher","given":"Michael"},{"family":"Koster","given":"Roelof"},{"family":"Kote-Jarai","given":"Zsofia"},{"family":"Koures","given":"Antonios"},{"family":"Kovacevic","given":"Milena"},{"family":"Kremeyer","given":"Barbara"},{"family":"Kretzmer","given":"Helene"},{"family":"Kreuz","given":"Markus"},{"family":"Krishnamurthy","given":"Savitri"},{"family":"Kube","given":"Dieter"},{"family":"Kumar","given":"Kiran"},{"family":"Kumar","given":"Pardeep"},{"family":"Kumar","given":"Sushant"},{"family":"Kumar","given":"Yogesh"},{"family":"Kundra","given":"Ritika"},{"family":"Kübler","given":"Kirsten"},{"family":"Küppers","given":"Ralf"},{"family":"Lagergren","given":"Jesper"},{"family":"Lai","given":"Phillip H."},{"family":"Laird","given":"Peter W."},{"family":"Lakhani","given":"Sunil R."},{"family":"Lalansingh","given":"Christopher M."},{"family":"Lalonde","given":"Emilie"},{"family":"Lamaze","given":"Fabien C."},{"family":"Lambert","given":"Adam"},{"family":"Lander","given":"Eric"},{"family":"Landgraf","given":"Pablo"},{"family":"Landoni","given":"Luca"},{"family":"Langerød","given":"Anita"},{"family":"Lanzós","given":"Andrés"},{"family":"Larsimont","given":"Denis"},{"family":"Larsson","given":"Erik"},{"family":"Lathrop","given":"Mark"},{"family":"Lau","given":"Loretta M. S."},{"family":"Lawerenz","given":"Chris"},{"family":"Lawlor","given":"Rita T."},{"family":"Lawrence","given":"Michael S."},{"family":"Lazar","given":"Alexander J."},{"family":"Lazic","given":"Ana Mijalkovic"},{"family":"Le","given":"Xuan"},{"family":"Lee","given":"Darlene"},{"family":"Lee","given":"Donghoon"},{"family":"Lee","given":"Eunjung Alice"},{"family":"Lee","given":"Hee Jin"},{"family":"Lee","given":"Jake June-Koo"},{"family":"Lee","given":"Jeong-Yeon"},{"family":"Lee","given":"Juhee"},{"family":"Lee","given":"Ming Ta Michael"},{"family":"Lee-Six","given":"Henry"},{"family":"Lehmann","given":"Kjong-Van"},{"family":"Lehrach","given":"Hans"},{"family":"Lenze","given":"Dido"},{"family":"Leonard","given":"Conrad R."},{"family":"Leongamornlert","given":"Daniel A."},{"family":"Leshchiner","given":"Ignaty"},{"family":"Letourneau","given":"Louis"},{"family":"Letunic","given":"Ivica"},{"family":"Levine","given":"Douglas A."},{"family":"Lewis","given":"Lora"},{"family":"Ley","given":"Tim"},{"family":"Li","given":"Chang"},{"family":"Li","given":"Constance H."},{"family":"Li","given":"Haiyan Irene"},{"family":"Li","given":"Jun"},{"family":"Li","given":"Lin"},{"family":"Li","given":"Shantao"},{"family":"Li","given":"Siliang"},{"family":"Li","given":"Xiaobo"},{"family":"Li","given":"Xiaotong"},{"family":"Li","given":"Xinyue"},{"family":"Li","given":"Yilong"},{"family":"Liang","given":"Han"},{"family":"Liang","given":"Sheng-Ben"},{"family":"Lichter","given":"Peter"},{"family":"Lin","given":"Pei"},{"family":"Lin","given":"Ziao"},{"family":"Linehan","given":"W. M."},{"family":"Lingjærde","given":"Ole Christian"},{"family":"Liu","given":"Dongbing"},{"family":"Liu","given":"Eric Minwei"},{"family":"Liu","given":"Fei-Fei Fei"},{"family":"Liu","given":"Fenglin"},{"family":"Liu","given":"Jia"},{"family":"Liu","given":"Xingmin"},{"family":"Livingstone","given":"Julie"},{"family":"Livitz","given":"Dimitri"},{"family":"Livni","given":"Naomi"},{"family":"Lochovsky","given":"Lucas"},{"family":"Loeffler","given":"Markus"},{"family":"Long","given":"Georgina V."},{"family":"Lopez-Guillermo","given":"Armando"},{"family":"Lou","given":"Shaoke"},{"family":"Louis","given":"David N."},{"family":"Lovat","given":"Laurence B."},{"family":"Lu","given":"Yiling"},{"family":"Lu","given":"Yong-Jie"},{"family":"Lu","given":"Youyong"},{"family":"Luchini","given":"Claudio"},{"family":"Lungu","given":"Ilinca"},{"family":"Luo","given":"Xuemei"},{"family":"Luxton","given":"Hayley J."},{"family":"Lynch","given":"Andy G."},{"family":"Lype","given":"Lisa"},{"family":"López","given":"Cristina"},{"family":"López-Otín","given":"Carlos"},{"family":"Ma","given":"Eric Z."},{"family":"Ma","given":"Yussanne"},{"family":"MacGrogan","given":"Gaetan"},{"family":"MacRae","given":"Shona"},{"family":"Macintyre","given":"Geoff"},{"family":"Madsen","given":"Tobias"},{"family":"Maejima","given":"Kazuhiro"},{"family":"Mafficini","given":"Andrea"},{"family":"Maglinte","given":"Dennis T."},{"family":"Maitra","given":"Arindam"},{"family":"Majumder","given":"Partha P."},{"family":"Malcovati","given":"Luca"},{"family":"Malikic","given":"Salem"},{"family":"Malleo","given":"Giuseppe"},{"family":"Mann","given":"Graham J."},{"family":"Mantovani-Löffler","given":"Luisa"},{"family":"Marchal","given":"Kathleen"},{"family":"Marchegiani","given":"Giovanni"},{"family":"Mardis","given":"Elaine R."},{"family":"Margolin","given":"Adam A."},{"family":"Marin","given":"Maximillian G."},{"family":"Markowetz","given":"Florian"},{"family":"Markowski","given":"Julia"},{"family":"Marques-Bonet","given":"Tomas"},{"family":"Marra","given":"Marco A."},{"family":"Marsden","given":"Luke"},{"family":"Martens","given":"John W. M."},{"family":"Martin","given":"Sancha"},{"family":"Martin-Subero","given":"Jose I."},{"family":"Martincorena","given":"Iñigo"},{"family":"Martinez-Fundichely","given":"Alexander"},{"family":"Maruvka","given":"Yosef E."},{"family":"Mashl","given":"R. Jay"},{"family":"Massie","given":"Charlie E."},{"family":"Matthew","given":"Thomas J."},{"family":"Matthews","given":"Lucy"},{"family":"Mayer","given":"Erik"},{"family":"Mayes","given":"Simon"},{"family":"Mayo","given":"Michael"},{"family":"Mbabaali","given":"Faridah"},{"family":"McCune","given":"Karen"},{"family":"McDermott","given":"Ultan"},{"family":"McGillivray","given":"Patrick D."},{"family":"McLellan","given":"Michael D."},{"family":"McPherson","given":"John D."},{"family":"McPherson","given":"John R."},{"family":"McPherson","given":"Treasa A."},{"family":"Meier","given":"Samuel R."},{"family":"Meng","given":"Alice"},{"family":"Meng","given":"Shaowu"},{"family":"Menzies","given":"Andrew"},{"family":"Merrett","given":"Neil D."},{"family":"Merson","given":"Sue"},{"family":"Meyerson","given":"Matthew"},{"family":"Meyerson","given":"William"},{"family":"Mieczkowski","given":"Piotr A."},{"family":"Mihaiescu","given":"George L."},{"family":"Mijalkovic","given":"Sanja"},{"family":"Mikkelsen","given":"Tom"},{"family":"Milella","given":"Michele"},{"family":"Mileshkin","given":"Linda"},{"family":"Miller","given":"Christopher A."},{"family":"Miller","given":"David K."},{"family":"Miller","given":"Jessica K."},{"family":"Mills","given":"Gordon B."},{"family":"Milovanovic","given":"Ana"},{"family":"Minner","given":"Sarah"},{"family":"Miotto","given":"Marco"},{"family":"Arnau","given":"Gisela Mir"},{"family":"Mirabello","given":"Lisa"},{"family":"Mitchell","given":"Chris"},{"family":"Mitchell","given":"Thomas J."},{"family":"Miyano","given":"Satoru"},{"family":"Miyoshi","given":"Naoki"},{"family":"Mizuno","given":"Shinichi"},{"family":"Molnár-Gábor","given":"Fruzsina"},{"family":"Moore","given":"Malcolm J."},{"family":"Moore","given":"Richard A."},{"family":"Morganella","given":"Sandro"},{"family":"Morris","given":"Quaid D."},{"family":"Mose","given":"Lisle E."},{"family":"Moser","given":"Catherine D."},{"family":"Muiños","given":"Ferran"},{"family":"Mularoni","given":"Loris"},{"family":"Mungall","given":"Andrew J."},{"family":"Mungall","given":"Karen"},{"family":"Musgrove","given":"Elizabeth A."},{"family":"Mustonen","given":"Ville"},{"family":"Mutch","given":"David"},{"family":"Muyas","given":"Francesc"},{"family":"Muzny","given":"Donna M."},{"family":"Muñoz","given":"Alfonso"},{"family":"Myers","given":"Jerome"},{"family":"Myklebost","given":"Ola"},{"family":"Möller","given":"Peter"},{"family":"Nagae","given":"Genta"},{"family":"Nagrial","given":"Adnan M."},{"family":"Nahal-Bose","given":"Hardeep K."},{"family":"Nakagama","given":"Hitoshi"},{"family":"Nakagawa","given":"Hidewaki"},{"family":"Nakamura","given":"Hiromi"},{"family":"Nakamura","given":"Toru"},{"family":"Nakano","given":"Kaoru"},{"family":"Nandi","given":"Tannistha"},{"family":"Nangalia","given":"Jyoti"},{"family":"Nastic","given":"Mia"},{"family":"Navarro","given":"Arcadi"},{"family":"Navarro","given":"Fabio C. P."},{"family":"Neal","given":"David E."},{"family":"Nettekoven","given":"Gerd"},{"family":"Newell","given":"Felicity"},{"family":"Newhouse","given":"Steven J."},{"family":"Newton","given":"Yulia"},{"family":"Ng","given":"Alvin Wei Tian"},{"family":"Ng","given":"Anthony"},{"family":"Nicholson","given":"Jonathan"},{"family":"Nicol","given":"David"},{"family":"Nie","given":"Yongzhan"},{"family":"Nielsen","given":"G. Petur"},{"family":"Nielsen","given":"Morten Muhlig"},{"family":"Nik-Zainal","given":"Serena"},{"family":"Noble","given":"Michael S."},{"family":"Nones","given":"Katia"},{"family":"Northcott","given":"Paul A."},{"family":"Notta","given":"Faiyaz"},{"family":"O’Connor","given":"Brian D."},{"family":"O’Donnell","given":"Peter"},{"family":"O’Donovan","given":"Maria"},{"family":"O’Meara","given":"Sarah"},{"family":"O’Neill","given":"Brian Patrick"},{"family":"O’Neill","given":"J. Robert"},{"family":"Ocana","given":"David"},{"family":"Ochoa","given":"Angelica"},{"family":"Oesper","given":"Layla"},{"family":"Ogden","given":"Christopher"},{"family":"Ohdan","given":"Hideki"},{"family":"Ohi","given":"Kazuhiro"},{"family":"Ohno-Machado","given":"Lucila"},{"family":"Oien","given":"Karin A."},{"family":"Ojesina","given":"Akinyemi I."},{"family":"Ojima","given":"Hidenori"},{"family":"Okusaka","given":"Takuji"},{"family":"Omberg","given":"Larsson"},{"family":"Ong","given":"Choon Kiat"},{"family":"Ossowski","given":"Stephan"},{"family":"Ott","given":"German"},{"family":"Ouellette","given":"B. F. Francis"},{"family":"P’ng","given":"Christine"},{"family":"Paczkowska","given":"Marta"},{"family":"Paiella","given":"Salvatore"},{"family":"Pairojkul","given":"Chawalit"},{"family":"Pajic","given":"Marina"},{"family":"Pan-Hammarström","given":"Qiang"},{"family":"Papaemmanuil","given":"Elli"},{"family":"Papatheodorou","given":"Irene"},{"family":"Paramasivam","given":"Nagarajan"},{"family":"Park","given":"Ji Wan"},{"family":"Park","given":"Joong-Won"},{"family":"Park","given":"Keunchil"},{"family":"Park","given":"Kiejung"},{"family":"Park","given":"Peter J."},{"family":"Parker","given":"Joel S."},{"family":"Parsons","given":"Simon L."},{"family":"Pass","given":"Harvey"},{"family":"Pasternack","given":"Danielle"},{"family":"Pastore","given":"Alessandro"},{"family":"Patch","given":"Ann-Marie"},{"family":"Pauporté","given":"Iris"},{"family":"Pearson","given":"John V."},{"family":"Pedamallu","given":"Chandra Sekhar"},{"family":"Pedersen","given":"Jakob Skou"},{"family":"Pederzoli","given":"Paolo"},{"family":"Peifer","given":"Martin"},{"family":"Pennell","given":"Nathan A."},{"family":"Perou","given":"Charles M."},{"family":"Perry","given":"Marc D."},{"family":"Petersen","given":"Gloria M."},{"family":"Peto","given":"Myron"},{"family":"Petrelli","given":"Nicholas"},{"family":"Petryszak","given":"Robert"},{"family":"Pfister","given":"Stefan M."},{"family":"Phillips","given":"Mark"},{"family":"Pich","given":"Oriol"},{"family":"Pickett","given":"Hilda A."},{"family":"Pihl","given":"Todd D."},{"family":"Pillay","given":"Nischalan"},{"family":"Pinder","given":"Sarah"},{"family":"Pinese","given":"Mark"},{"family":"Pinho","given":"Andreia V."},{"family":"Pitkänen","given":"Esa"},{"family":"Piñeiro-Yáñez","given":"Elena"},{"family":"Planko","given":"Laura"},{"family":"Plass","given":"Christoph"},{"family":"Polak","given":"Paz"},{"family":"Pons","given":"Tirso"},{"family":"Popescu","given":"Irinel"},{"family":"Potapova","given":"Olga"},{"family":"Prasad","given":"Aparna"},{"family":"Preston","given":"Shaun R."},{"family":"Prinz","given":"Manuel"},{"family":"Pritchard","given":"Antonia L."},{"family":"Prokopec","given":"Stephenie D."},{"family":"Provenzano","given":"Elena"},{"family":"Puente","given":"Xose S."},{"family":"Puig","given":"Sonia"},{"family":"Puiggròs","given":"Montserrat"},{"family":"Pulido-Tamayo","given":"Sergio"},{"family":"Pupo","given":"Gulietta M."},{"family":"Purdie","given":"Colin A."},{"family":"Quinn","given":"Michael C."},{"family":"Rabionet","given":"Raquel"},{"family":"Rader","given":"Janet S."},{"family":"Radlwimmer","given":"Bernhard"},{"family":"Radovic","given":"Petar"},{"family":"Raeder","given":"Benjamin"},{"family":"Raine","given":"Keiran M."},{"family":"Ramakrishna","given":"Manasa"},{"family":"Ramakrishnan","given":"Kamna"},{"family":"Ramalingam","given":"Suresh"},{"family":"Raphael","given":"Benjamin J."},{"family":"Rathmell","given":"W. Kimryn"},{"family":"Rausch","given":"Tobias"},{"family":"Reifenberger","given":"Guido"},{"family":"Reimand","given":"Jüri"},{"family":"Reis-Filho","given":"Jorge"},{"family":"Reuter","given":"Victor"},{"family":"Reyes-Salazar","given":"Iker"},{"family":"Reyna","given":"Matthew A."},{"family":"Reynolds","given":"Sheila M."},{"family":"Rheinbay","given":"Esther"},{"family":"Riazalhosseini","given":"Yasser"},{"family":"Richardson","given":"Andrea L."},{"family":"Richter","given":"Julia"},{"family":"Ringel","given":"Matthew"},{"family":"Ringnér","given":"Markus"},{"family":"Rino","given":"Yasushi"},{"family":"Rippe","given":"Karsten"},{"family":"Roach","given":"Jeffrey"},{"family":"Roberts","given":"Lewis R."},{"family":"Roberts","given":"Nicola D."},{"family":"Roberts","given":"Steven A."},{"family":"Robertson","given":"A. Gordon"},{"family":"Robertson","given":"Alan J."},{"family":"Rodriguez","given":"Javier Bartolomé"},{"family":"Rodriguez-Martin","given":"Bernardo"},{"family":"Rodríguez-González","given":"F. Germán"},{"family":"Rohde","given":"Marius"},{"family":"Rokutan","given":"Hirofumi"},{"family":"Rooman","given":"Ilse"},{"family":"Roques","given":"Tom"},{"family":"Rosebrock","given":"Daniel"},{"family":"Rosenberg","given":"Mara"},{"family":"Rosenstiel","given":"Philip C."},{"family":"Rosenwald","given":"Andreas"},{"family":"Rowe","given":"Edward W."},{"family":"Royo","given":"Romina"},{"family":"Rozen","given":"Steven G."},{"family":"Rubanova","given":"Yulia"},{"family":"Rubin","given":"Mark A."},{"family":"Rubio-Perez","given":"Carlota"},{"family":"Rudneva","given":"Vasilisa A."},{"family":"Rusev","given":"Borislav C."},{"family":"Ruzzenente","given":"Andrea"},{"family":"Rätsch","given":"Gunnar"},{"family":"Sabarinathan","given":"Radhakrishnan"},{"family":"Sabelnykova","given":"Veronica Y."},{"family":"Sadeghi","given":"Sara"},{"family":"Sahinalp","given":"S. Cenk"},{"family":"Saini","given":"Natalie"},{"family":"Saito-Adachi","given":"Mihoko"},{"family":"Saksena","given":"Gordon"},{"family":"Salgado","given":"Roberto"},{"family":"Salichos","given":"Leonidas"},{"family":"Sallari","given":"Richard"},{"family":"Saller","given":"Charles"},{"family":"Salvia","given":"Roberto"},{"family":"Sam","given":"Michelle"},{"family":"Samra","given":"Jaswinder S."},{"family":"Sanchez-Vega","given":"Francisco"},{"family":"Sander","given":"Chris"},{"family":"Sanders","given":"Grant"},{"family":"Sarin","given":"Rajiv"},{"family":"Sarrafi","given":"Iman"},{"family":"Sasaki-Oku","given":"Aya"},{"family":"Sauer","given":"Torill"},{"family":"Sauter","given":"Guido"},{"family":"Saw","given":"Robyn P. M."},{"family":"Scardoni","given":"Maria"},{"family":"Scarlett","given":"Christopher J."},{"family":"Scarpa","given":"Aldo"},{"family":"Scelo","given":"Ghislaine"},{"family":"Schadendorf","given":"Dirk"},{"family":"Schein","given":"Jacqueline E."},{"family":"Schilhabel","given":"Markus B."},{"family":"Schlesner","given":"Matthias"},{"family":"Schlomm","given":"Thorsten"},{"family":"Schmidt","given":"Heather K."},{"family":"Schreiber","given":"Stefan"},{"family":"Schultz","given":"Nikolaus"},{"family":"Schumacher","given":"Steven E."},{"family":"Schwarz","given":"Roland F."},{"family":"Scolyer","given":"Richard A."},{"family":"Scott","given":"David"},{"family":"Scully","given":"Ralph"},{"family":"Seethala","given":"Raja"},{"family":"Segre","given":"Ayellet V."},{"family":"Selander","given":"Iris"},{"family":"Semple","given":"Colin A."},{"family":"Senbabaoglu","given":"Yasin"},{"family":"Sengupta","given":"Subhajit"},{"family":"Sereni","given":"Elisabetta"},{"family":"Serra","given":"Stefano"},{"family":"Shackleton","given":"Mark"},{"family":"Shah","given":"Nimish C."},{"family":"Shahabi","given":"Sagedeh"},{"family":"Shang","given":"Catherine A."},{"family":"Shang","given":"Ping"},{"family":"Shapira","given":"Ofer"},{"family":"Shelton","given":"Troy"},{"family":"Shen","given":"Ciyue"},{"family":"Shen","given":"Hui"},{"family":"Shepherd","given":"Rebecca"},{"family":"Shi","given":"Yan"},{"family":"Shiah","given":"Yu-Jia"},{"family":"Shibata","given":"Tatsuhiro"},{"family":"Shih","given":"Juliann"},{"family":"Shimizu","given":"Eigo"},{"family":"Shin","given":"Seung Jun"},{"family":"Shiraishi","given":"Yuichi"},{"family":"Shmaya","given":"Tal"},{"family":"Shmulevich","given":"Ilya"},{"family":"Shorser","given":"Solomon I."},{"family":"Shrestha","given":"Raunak"},{"family":"Shringarpure","given":"Suyash S."},{"family":"Shriver","given":"Craig"},{"family":"Shuai","given":"Shimin"},{"family":"Sidiropoulos","given":"Nikos"},{"family":"Siebert","given":"Reiner"},{"family":"Sieuwerts","given":"Anieta M."},{"family":"Sieverling","given":"Lina"},{"family":"Signoretti","given":"Sabina"},{"family":"Sikora","given":"Katarzyna O."},{"family":"Simbolo","given":"Michele"},{"family":"Simon","given":"Ronald"},{"family":"Simons","given":"Janae V."},{"family":"Simpson","given":"Jared T."},{"family":"Simpson","given":"Peter T."},{"family":"Singer","given":"Samuel"},{"family":"Sinnott-Armstrong","given":"Nasa"},{"family":"Sipahimalani","given":"Payal"},{"family":"Skelly","given":"Tara J."},{"family":"Smid","given":"Marcel"},{"family":"Smith","given":"Jaclyn"},{"family":"Smith-McCune","given":"Karen"},{"family":"Socci","given":"Nicholas D."},{"family":"Soloway","given":"Matthew G."},{"family":"Song","given":"Lei"},{"family":"Sood","given":"Anil K."},{"family":"Sothi","given":"Sharmila"},{"family":"Sotiriou","given":"Christos"},{"family":"Soulette","given":"Cameron M."},{"family":"Span","given":"Paul N."},{"family":"Spellman","given":"Paul T."},{"family":"Spillane","given":"Andrew J."},{"family":"Spiro","given":"Oliver"},{"family":"Spring","given":"Jonathan"},{"family":"Staaf","given":"Johan"},{"family":"Stadler","given":"Peter F."},{"family":"Staib","given":"Peter"},{"family":"Stark","given":"Stefan G."},{"family":"Stebbings","given":"Lucy"},{"family":"Stefánsson","given":"Ólafur Andri"},{"family":"Stegle","given":"Oliver"},{"family":"Stein","given":"Lincoln D."},{"family":"Stenhouse","given":"Alasdair"},{"family":"Stewart","given":"Chip"},{"family":"Stilgenbauer","given":"Stephan"},{"family":"Stobbe","given":"Miranda D."},{"family":"Stratton","given":"Michael R."},{"family":"Stretch","given":"Jonathan R."},{"family":"Struck","given":"Adam J."},{"family":"Stuart","given":"Joshua M."},{"family":"Stunnenberg","given":"Henk G."},{"family":"Su","given":"Hong"},{"family":"Su","given":"Xiaoping"},{"family":"Sungalee","given":"Stephanie"},{"family":"Susak","given":"Hana"},{"family":"Suzuki","given":"Akihiro"},{"family":"Sweep","given":"Fred"},{"family":"Szczepanowski","given":"Monika"},{"family":"Sültmann","given":"Holger"},{"family":"Yugawa","given":"Takashi"},{"family":"Tam","given":"Angela"},{"family":"Tamborero","given":"David"},{"family":"Tan","given":"Benita Kiat Tee"},{"family":"Tan","given":"Donghui"},{"family":"Tan","given":"Patrick"},{"family":"Tanaka","given":"Hiroko"},{"family":"Taniguchi","given":"Hirokazu"},{"family":"Tanskanen","given":"Tomas J."},{"family":"Tarabichi","given":"Maxime"},{"family":"Tarnuzzer","given":"Roy"},{"family":"Tarpey","given":"Patrick"},{"family":"Taschuk","given":"Morgan L."},{"family":"Tatsuno","given":"Kenji"},{"family":"Tavaré","given":"Simon"},{"family":"Taylor","given":"Darrin F."},{"family":"Taylor-Weiner","given":"Amaro"},{"family":"Teague","given":"Jon W."},{"family":"Teh","given":"Bin Tean"},{"family":"Tembe","given":"Varsha"},{"family":"Temes","given":"Javier"},{"family":"Thai","given":"Kevin"},{"family":"Thiessen","given":"Nina"},{"family":"Thomas","given":"Gilles"},{"family":"Thomas","given":"Sarah"},{"family":"Thompson","given":"Alastair M."},{"family":"Thompson","given":"John F. F."},{"family":"Thompson","given":"R. Houston"},{"family":"Thorne","given":"Heather"},{"family":"Thorne","given":"Leigh B."},{"family":"Thorogood","given":"Adrian"},{"family":"Tiao","given":"Grace"},{"family":"Tijanic","given":"Nebojsa"},{"family":"Timms","given":"Lee E."},{"family":"Tirabosco","given":"Roberto"},{"family":"Tojo","given":"Marta"},{"family":"Tommasi","given":"Stefania"},{"family":"Toon","given":"Christopher W."},{"family":"Torrents","given":"David"},{"family":"Tortora","given":"Giampaolo"},{"family":"Tost","given":"Jörg"},{"family":"Totoki","given":"Yasushi"},{"family":"Townend","given":"David"},{"family":"Traficante","given":"Nadia"},{"family":"Trotta","given":"Jean-Rémi"},{"family":"Trümper","given":"Lorenz H. P."},{"family":"Tsao","given":"Ming"},{"family":"Tsunoda","given":"Tatsuhiko"},{"family":"Tucker","given":"Olga"},{"family":"Turkington","given":"Richard"},{"family":"Turner","given":"Daniel J."},{"family":"Tutt","given":"Andrew"},{"family":"Ueno","given":"Masaki"},{"family":"Umbricht","given":"Christopher"},{"family":"Umer","given":"Husen M."},{"family":"Underwood","given":"Timothy J."},{"family":"Urushidate","given":"Tomoko"},{"family":"Ushiku","given":"Tetsuo"},{"family":"Uusküla-Reimand","given":"Liis"},{"family":"Valencia","given":"Alfonso"},{"family":"Van Den Berg","given":"David J."},{"family":"Van Laere","given":"Steven"},{"family":"Van Meir","given":"Erwin G."},{"family":"Van den Eynden","given":"Gert G."},{"family":"Van der Kwast","given":"Theodorus"},{"family":"Vasudev","given":"Naveen"},{"family":"Vazquez","given":"Miguel"},{"family":"Vedururu","given":"Ravikiran"},{"family":"Veluvolu","given":"Umadevi"},{"family":"Vembu","given":"Shankar"},{"family":"Verbeke","given":"Lieven P. C."},{"family":"Vermeulen","given":"Peter"},{"family":"Verrill","given":"Clare"},{"family":"Viari","given":"Alain"},{"family":"Vicente","given":"David"},{"family":"Vicentini","given":"Caterina"},{"family":"VijayRaghavan","given":"K."},{"family":"Viksna","given":"Juris"},{"family":"Vilain","given":"Ricardo E."},{"family":"Villasante","given":"Izar"},{"family":"Vincent-Salomon","given":"Anne"},{"family":"Voet","given":"Douglas"},{"family":"Vázquez-García","given":"Ignacio"},{"family":"Waddell","given":"Nick M."},{"family":"Waddell","given":"Nicola"},{"family":"Wadelius","given":"Claes"},{"family":"Wadi","given":"Lina"},{"family":"Wagener","given":"Rabea"},{"family":"Wala","given":"Jeremiah A."},{"family":"Wang","given":"Jian"},{"family":"Wang","given":"Jiayin"},{"family":"Wang","given":"Linghua"},{"family":"Wang","given":"Wenyi"},{"family":"Wang","given":"Yumeng"},{"family":"Wang","given":"Zhining"},{"family":"Waring","given":"Paul M."},{"family":"Warnatz","given":"Hans-Jörg"},{"family":"Warrell","given":"Jonathan"},{"family":"Warren","given":"Anne Y."},{"family":"Waszak","given":"Sebastian M."},{"family":"Wedge","given":"David C."},{"family":"Weichenhan","given":"Dieter"},{"family":"Weinstein","given":"John N."},{"family":"Weischenfeldt","given":"Joachim"},{"family":"Weisenberger","given":"Daniel J."},{"family":"Welch","given":"Ian"},{"family":"Wendl","given":"Michael C."},{"family":"Werner","given":"Johannes"},{"family":"Wheeler","given":"David A."},{"family":"Whitaker","given":"Hayley C."},{"family":"Wigle","given":"Dennis"},{"family":"Wilkerson","given":"Matthew D."},{"family":"Williams","given":"Ashley"},{"family":"Wilmott","given":"James S."},{"family":"Wilson","given":"Gavin W."},{"family":"Wilson","given":"Julie M."},{"family":"Wilson","given":"Richard K."},{"family":"Winterhoff","given":"Boris"},{"family":"Wintersinger","given":"Jeffrey A."},{"family":"Wiznerowicz","given":"Maciej"},{"family":"Wolf","given":"Stephan"},{"family":"Wong","given":"Bernice H."},{"family":"Wong","given":"Tina"},{"family":"Wong","given":"Winghing"},{"family":"Wood","given":"Scott"},{"family":"Wouters","given":"Bradly G."},{"family":"Wright","given":"Adam J."},{"family":"Wright","given":"Derek W."},{"family":"Wu","given":"Chin-Lee"},{"family":"Wu","given":"Dai-Ying"},{"family":"Wu","given":"Jianmin"},{"family":"Wu","given":"Kui"},{"family":"Wu","given":"Yang"},{"family":"Wu","given":"Zhenggang"},{"family":"Xi","given":"Liu"},{"family":"Xia","given":"Tian"},{"family":"Xiao","given":"Xiao"},{"family":"Xing","given":"Rui"},{"family":"Xiong","given":"Heng"},{"family":"Xu","given":"Qinying"},{"family":"Xu","given":"Yanxun"},{"family":"Xue","given":"Hong"},{"family":"Yachida","given":"Shinichi"},{"family":"Yakneen","given":"Sergei"},{"family":"Yamaguchi","given":"Rui"},{"family":"Yamaguchi","given":"Takafumi N."},{"family":"Yamamoto","given":"Masakazu"},{"family":"Yamamoto","given":"Shogo"},{"family":"Yamaue","given":"Hiroki"},{"family":"Yang","given":"Fan"},{"family":"Yang","given":"Jean Y."},{"family":"Yang","given":"Liming"},{"family":"Yang","given":"Lixing"},{"family":"Yang","given":"Shanlin"},{"family":"Yang","given":"Tsun-Po"},{"family":"Yang","given":"Yang"},{"family":"Yao","given":"Xiaotong"},{"family":"Yaspo","given":"Marie-Laure"},{"family":"Yates","given":"Lucy"},{"family":"Yau","given":"Christina"},{"family":"Ye","given":"Kai"},{"family":"Yellapantula","given":"Venkata D."},{"family":"Yoon","given":"Christopher J."},{"family":"Yoon","given":"Sung-Soo"},{"family":"Yousif","given":"Fouad"},{"family":"Yu","given":"Jun"},{"family":"Yu","given":"Kaixian"},{"family":"Yu","given":"Willie"},{"family":"Yu","given":"Yingyan"},{"family":"Yuan","given":"Ke"},{"family":"Yuan","given":"Yuan"},{"family":"Yuen","given":"Denis"},{"family":"Yung","given":"Christina K."},{"family":"Zaikova","given":"Olga"},{"family":"Zamora","given":"Jorge"},{"family":"Zenklusen","given":"Jean C."},{"family":"Zenz","given":"Thorsten"},{"family":"Zeps","given":"Nikolajs"},{"family":"Zhang","given":"Cheng-Zhong"},{"family":"Zhang","given":"Fan"},{"family":"Zhang","given":"Hailei"},{"family":"Zhang","given":"Hongwei"},{"family":"Zhang","given":"Jiashan"},{"family":"Zhang","given":"Jing"},{"family":"Zhang","given":"Junjun"},{"family":"Zhang","given":"Xuanping"},{"family":"Zhang","given":"Zemin"},{"family":"Zheng","given":"Liangtao"},{"family":"Zheng","given":"Xiuqing"},{"family":"Zhou","given":"Wanding"},{"family":"Zhou","given":"Yong"},{"family":"Zhu","given":"Bin"},{"family":"Zhu","given":"Hongtu"},{"family":"Zhu","given":"Jingchun"},{"family":"Zhu","given":"Shida"},{"family":"Zou","given":"Lihua"},{"family":"Zou","given":"Xueqing"},{"family":"deFazio","given":"Anna"},{"family":"As","given":"Nicholas","non-dropping-particle":"van"},{"family":"Deurzen","given":"Carolien H. M.","non-dropping-particle":"van"},{"family":"Vijver","given":"Marc J.","non-dropping-particle":"van de"},{"family":"Veer","given":"L.","non-dropping-particle":"van’t"},{"family":"Mering","given":"Christian","non-dropping-particle":"von"}],"issued":{"date-parts":[["2020",2,6]]}}}],"schema":"https://github.com/citation-style-language/schema/raw/master/csl-citation.json"}</w:instrText>
      </w:r>
      <w:r>
        <w:rPr>
          <w:rFonts w:hint="eastAsia"/>
        </w:rPr>
      </w:r>
      <w:r>
        <w:rPr>
          <w:rFonts w:hint="eastAsia"/>
        </w:rPr>
        <w:fldChar w:fldCharType="separate"/>
      </w:r>
      <w:r>
        <w:rPr>
          <w:rFonts w:hint="eastAsia"/>
        </w:rPr>
      </w:r>
      <w:r>
        <w:rPr/>
        <w:t>(Martínez-Jiménez et al. 2023; Bavi et al. 2020)</w:t>
      </w:r>
      <w:r>
        <w:rPr>
          <w:rFonts w:hint="eastAsia"/>
        </w:rPr>
      </w:r>
      <w:r>
        <w:rPr>
          <w:rFonts w:hint="eastAsia"/>
        </w:rPr>
        <w:fldChar w:fldCharType="end"/>
      </w:r>
      <w:r>
        <w:rPr/>
        <w:t xml:space="preserve">, several samples displaying MSI characteristics—such as high SBS and indel mutations alongside MSI-associated SBS signatures—were classified as MSS. To resolve this discrepancy, we updated the MSI status using MSISeq, a software tool designed to identify MSI status based on catalogs of somatic mutations </w:t>
      </w:r>
      <w:r>
        <w:fldChar w:fldCharType="begin"/>
      </w:r>
      <w:r>
        <w:rPr/>
        <w:instrText xml:space="preserve">ADDIN ZOTERO_ITEM CSL_CITATION {"citationID":"Dkst3xq7","properties":{"formattedCitation":"(Ni Huang et al. 2015)","plainCitation":"(Ni Huang et al. 2015)","dontUpdate":true,"noteIndex":0},"citationItems":[{"id":"LB8OR9DJ/qobBzQcH","uris":["http://zotero.org/users/14858941/items/2V7URUSU"],"itemData":{"id":825,"type":"article-journal","abstract":"Abstract\n            Microsatellite instability (MSI) is a form of hypermutation that occurs in some tumors due to defects in cellular DNA mismatch repair. MSI is characterized by frequent somatic mutations (i.e., cancer-specific mutations) that change the length of simple repeats (e.g., AAAAA…., GATAGATAGATA...). Clinical MSI tests evaluate the lengths of a handful of simple repeat sites, while next-generation sequencing can assay many more sites and offers a much more complete view of their somatic mutation frequencies. Using somatic mutation data from the exomes of a 361-tumor training set, we developed classifiers to determine MSI status based on four machine-learning frameworks. All frameworks had high accuracy and after choosing one we determined that it had &gt;98% concordance with clinical tests in a separate 163-tumor test set. Furthermore, this classifier retained high concordance even when classifying tumors based on subsets of whole-exome data. We have released a CRAN R package, MSIseq, based on this classifier. MSIseq is faster and simpler to use than software that requires large files of aligned sequenced reads. MSIseq will be useful for genomic studies in which clinical MSI test results are unavailable and for detecting possible misclassifications by clinical tests.","container-title":"Scientific Reports","DOI":"10.1038/srep13321","ISSN":"2045-2322","issue":"1","journalAbbreviation":"Sci Rep","language":"en","page":"13321","source":"DOI.org (Crossref)","title":"MSIseq: Software for Assessing Microsatellite Instability from Catalogs of Somatic Mutations","title-short":"MSIseq","volume":"5","author":[{"family":"Huang","given":"Mini"},{"family":"McPherson","given":"John R."},{"family":"Cutcutache","given":"Ioana"},{"family":"Teh","given":"Bin Tean"},{"family":"Tan","given":"Patrick"},{"family":"Rozen","given":"Steven G."}],"issued":{"date-parts":[["2015",8,26]]}}}],"schema":"https://github.com/citation-style-language/schema/raw/master/csl-citation.json"}</w:instrText>
      </w:r>
      <w:r>
        <w:rPr/>
      </w:r>
      <w:r>
        <w:rPr/>
        <w:fldChar w:fldCharType="separate"/>
      </w:r>
      <w:r>
        <w:rPr/>
        <w:t>(Huang et al. 2015)</w:t>
      </w:r>
      <w:r>
        <w:rPr/>
      </w:r>
      <w:r>
        <w:rPr/>
        <w:fldChar w:fldCharType="end"/>
      </w:r>
      <w:r>
        <w:rPr/>
        <w:t xml:space="preserve">. MSISeq identified an additional </w:t>
      </w:r>
      <w:r>
        <w:rPr>
          <w:rFonts w:hint="eastAsia"/>
        </w:rPr>
        <w:t>98</w:t>
      </w:r>
      <w:r>
        <w:rPr/>
        <w:t xml:space="preserve"> MSI tumors beyond the 91 previously reported in the literature</w:t>
      </w:r>
      <w:r>
        <w:rPr>
          <w:rFonts w:hint="eastAsia"/>
        </w:rPr>
        <w:t xml:space="preserve"> (Figure S6A)</w:t>
      </w:r>
      <w:r>
        <w:rPr/>
        <w:t xml:space="preserve">. In total, we identified </w:t>
      </w:r>
      <w:r>
        <w:rPr>
          <w:rFonts w:hint="eastAsia"/>
        </w:rPr>
        <w:t>189</w:t>
      </w:r>
      <w:r>
        <w:rPr/>
        <w:t xml:space="preserve"> MSI tumors with SBS mutation counts ranging from 10,839 to 2,432,617 and indel mutations ranging from 5,060 to 318,631. For subsequent analyses, we will refer to these </w:t>
      </w:r>
      <w:r>
        <w:rPr>
          <w:rFonts w:hint="eastAsia"/>
        </w:rPr>
        <w:t>189</w:t>
      </w:r>
      <w:r>
        <w:rPr/>
        <w:t xml:space="preserve"> tumors as MSI tumors. Notably, these MSI tumors typically exhibit a higher prevalence of deletions compared to insertions (</w:t>
      </w:r>
      <w:r>
        <w:rPr>
          <w:rFonts w:hint="eastAsia"/>
        </w:rPr>
        <w:t>Figure S6B</w:t>
      </w:r>
      <w:r>
        <w:rPr/>
        <w:t>), suggesting that defective DNA mismatch repair predominantly leads to nucleotide removal rather than insertions.</w:t>
      </w:r>
    </w:p>
    <w:p>
      <w:pPr>
        <w:pStyle w:val="Normal"/>
        <w:rPr/>
      </w:pPr>
      <w:r>
        <w:rPr/>
        <w:t>Leveraging the higher prevalence of MSI tumors in our combined dataset, we identified five COSMIC83 signatures and their six corresponding Koh89 signatures associated with MSI: C_ID2 (InsDel2b &amp; InsDel2c</w:t>
      </w:r>
      <w:r>
        <w:rPr>
          <w:rFonts w:hint="eastAsia"/>
        </w:rPr>
        <w:t>, Figure 7A</w:t>
      </w:r>
      <w:r>
        <w:rPr/>
        <w:t>), C_ID7 (InsDel7</w:t>
      </w:r>
      <w:r>
        <w:rPr>
          <w:rFonts w:hint="eastAsia"/>
        </w:rPr>
        <w:t>, Figure 7B</w:t>
      </w:r>
      <w:r>
        <w:rPr/>
        <w:t xml:space="preserve">), </w:t>
      </w:r>
      <w:commentRangeStart w:id="1"/>
      <w:r>
        <w:rPr/>
        <w:t xml:space="preserve">H_ID33 </w:t>
      </w:r>
      <w:r>
        <w:rPr/>
      </w:r>
      <w:commentRangeEnd w:id="1"/>
      <w:r>
        <w:commentReference w:id="1"/>
      </w:r>
      <w:r>
        <w:rPr/>
        <w:t>and H_ID37 (InsDel33</w:t>
      </w:r>
      <w:r>
        <w:rPr>
          <w:rFonts w:hint="eastAsia"/>
        </w:rPr>
        <w:t>, Figure 7C</w:t>
      </w:r>
      <w:r>
        <w:rPr/>
        <w:t>), H_ID34 (InsDel34</w:t>
      </w:r>
      <w:r>
        <w:rPr>
          <w:rFonts w:hint="eastAsia"/>
        </w:rPr>
        <w:t>, Figure 7D</w:t>
      </w:r>
      <w:r>
        <w:rPr/>
        <w:t>), and H_ID38 (InsDel38</w:t>
      </w:r>
      <w:r>
        <w:rPr>
          <w:rFonts w:hint="eastAsia"/>
        </w:rPr>
        <w:t>, Figure 7E</w:t>
      </w:r>
      <w:r>
        <w:rPr/>
        <w:t xml:space="preserve">). </w:t>
      </w:r>
      <w:r>
        <w:rPr>
          <w:rFonts w:hint="eastAsia"/>
        </w:rPr>
        <w:t xml:space="preserve">All these signatures </w:t>
      </w:r>
      <w:r>
        <w:rPr/>
        <w:t>showed significantly higher activity and enrichment in MSI tumors compared to MSS tumors (</w:t>
      </w:r>
      <w:r>
        <w:rPr>
          <w:rFonts w:hint="eastAsia"/>
        </w:rPr>
        <w:t xml:space="preserve">Figure 7F, </w:t>
      </w:r>
      <w:r>
        <w:rPr/>
        <w:t>Table S</w:t>
      </w:r>
      <w:r>
        <w:rPr>
          <w:rFonts w:hint="eastAsia"/>
        </w:rPr>
        <w:t>5</w:t>
      </w:r>
      <w:r>
        <w:rPr/>
        <w:t>).</w:t>
      </w:r>
      <w:r>
        <w:rPr>
          <w:rFonts w:hint="eastAsia"/>
        </w:rPr>
        <w:t xml:space="preserve"> </w:t>
      </w:r>
      <w:r>
        <w:rPr/>
        <w:t>COSMIC v3.4 catalogs seven SBS signatures linked to mismatch repair (MMR) deficiency—SBS6, SBS14, SBS15, SBS20, SBS21, SBS26, and SBS44—which often co-occur and exhibit overlapping mutation patterns (e.g., SBS44 and SBS20 share nearly identical C&gt;A profiles, while SBS6 and SBS15 both have a prominent CCG&gt;CTG peak). we observed that H_ID33, H_ID37, and C_ID7 all display &gt;1 bp deletions at repeat sequences, but are associated with distinct indel types</w:t>
      </w:r>
      <w:r>
        <w:rPr>
          <w:rFonts w:hint="eastAsia"/>
        </w:rPr>
        <w:t>:</w:t>
      </w:r>
      <w:r>
        <w:rPr/>
        <w:t xml:space="preserve"> C_ID7 is mainly defined by single-base deletions of C or T from long homopolymer tracts. H_ID33 predominantly reflects TT deletions from 4–5 TT repeats, while H_ID37 is associated with TTT deletions from 3 TTT repeats (Figure S</w:t>
      </w:r>
      <w:r>
        <w:rPr>
          <w:rFonts w:hint="eastAsia"/>
        </w:rPr>
        <w:t>6D&amp;E</w:t>
      </w:r>
      <w:r>
        <w:rPr/>
        <w:t>). Although H_ID33 and H_ID37 both describe similar patterns, H_ID37 is found exclusively in tumors with high C_ID2 activity, whereas H_ID33 more commonly co-occurs with C_ID2 (Figure S</w:t>
      </w:r>
      <w:r>
        <w:rPr>
          <w:rFonts w:hint="eastAsia"/>
        </w:rPr>
        <w:t>6C</w:t>
      </w:r>
      <w:r>
        <w:rPr/>
        <w:t>). Analysis of the corresponding Koh89 signatures revealed that InsDel33 captures the deletion patterns of both H_ID33 and H_ID37, characterized by a predominant peak at ‘L(2, ):U(1,2):R(5,9)’. Further examination showed that tumors with high H_ID33 activity predominantly exhibit TT deletions from long repeats, H_ID37 tumors show TTT and TTTT deletions, whereas C_ID7 tumors are characterized by more dinucleotide deletions and longer polyT deletions</w:t>
      </w:r>
      <w:r>
        <w:rPr>
          <w:rFonts w:hint="eastAsia"/>
        </w:rPr>
        <w:t xml:space="preserve"> </w:t>
      </w:r>
      <w:r>
        <w:rPr/>
        <w:t xml:space="preserve">(Figure </w:t>
      </w:r>
      <w:r>
        <w:rPr>
          <w:rFonts w:hint="eastAsia"/>
        </w:rPr>
        <w:t>7G</w:t>
      </w:r>
      <w:r>
        <w:rPr/>
        <w:t>). Thus, despite shared features, these signatures arise from distinct mutational processes.</w:t>
      </w:r>
    </w:p>
    <w:p>
      <w:pPr>
        <w:pStyle w:val="Normal"/>
        <w:rPr/>
      </w:pPr>
      <w:r>
        <w:rPr/>
        <w:t>In contrast to the deletion-dominated signatures, H_ID38 is mainly characterized by insertions—specifically 1 bp and 2 bp events at long repeats. This signature is associated with two scenarios: in samples with low C_ID2 activity, H_ID38 predominantly involves TT insertions; in samples with low, but not depleted, C_ID2 activity, H_ID38 shows a higher proportion of AT/TA insertions (Figure S</w:t>
      </w:r>
      <w:r>
        <w:rPr>
          <w:rFonts w:hint="eastAsia"/>
        </w:rPr>
        <w:t>6F</w:t>
      </w:r>
      <w:r>
        <w:rPr/>
        <w:t>). Among the five MSI-associated signatures, only H_ID38 primarily describes insertions, further reinforcing the tendency for MSI tumors to exhibit more deletions than insertions.</w:t>
      </w:r>
    </w:p>
    <w:p>
      <w:pPr>
        <w:pStyle w:val="Normal"/>
        <w:rPr/>
      </w:pPr>
      <w:r>
        <w:rPr/>
        <w:t>Finally, we assessed the predictive performance of MSI signature activity as a biomarker for MSI status by performing AUROC analyses using both pre-labeled MSI status and MSISeq-derived status. Given the predominance of MSS tumors in our dataset, we evalua</w:t>
      </w:r>
      <w:r>
        <w:rPr>
          <w:rFonts w:hint="eastAsia"/>
        </w:rPr>
        <w:t>ted predictive accuracy across all tumors, as well as subsets with ≥500 and ≥2000 indels. In every scenario, the AUROC exceeded 0.95, indicating that both COSMIC83 and Koh89 signature profiles provide highly accurate detection of MSI status (Figure S6G &amp; H)</w:t>
      </w:r>
      <w:r>
        <w:rPr/>
        <w:t xml:space="preserve">. </w:t>
      </w:r>
    </w:p>
    <w:p>
      <w:pPr>
        <w:pStyle w:val="Normal"/>
        <w:rPr>
          <w:rFonts w:hint="eastAsia"/>
        </w:rPr>
      </w:pPr>
      <w:r>
        <w:rPr>
          <w:rFonts w:hint="eastAsia"/>
        </w:rPr>
        <w:t>A novel ID-TOP1 signature</w:t>
      </w:r>
    </w:p>
    <w:p>
      <w:pPr>
        <w:pStyle w:val="Normal"/>
        <w:rPr/>
      </w:pPr>
      <w:r>
        <w:rPr/>
        <w:t xml:space="preserve">We identified a novel pair of mutational signatures, H_ID29 and InsDel29, both characterized by 1–3 bp deletions from two repeats or microhomology, with strong support from both PCAWG and HMF samples (Figure </w:t>
      </w:r>
      <w:r>
        <w:rPr>
          <w:rFonts w:hint="eastAsia"/>
        </w:rPr>
        <w:t>8</w:t>
      </w:r>
      <w:r>
        <w:rPr/>
        <w:t xml:space="preserve">A, </w:t>
      </w:r>
      <w:r>
        <w:rPr>
          <w:rFonts w:hint="eastAsia"/>
        </w:rPr>
        <w:t>Figure S7</w:t>
      </w:r>
      <w:r>
        <w:rPr/>
        <w:t>). Notably, two PCAWG samples exhibited high H_ID29 activity: a skin melanoma genome (SP103894) with 3,772 H_ID29 mutations, and a breast cancer genome (SP5559) with 949 H_ID29 mutations</w:t>
      </w:r>
      <w:r>
        <w:rPr>
          <w:rFonts w:hint="eastAsia"/>
        </w:rPr>
        <w:t xml:space="preserve"> (Figure S7B)</w:t>
      </w:r>
      <w:r>
        <w:rPr/>
        <w:t xml:space="preserve">. The inclusion of additional samples enabled the detection of these rare signatures within the PCAWG dataset. </w:t>
      </w:r>
      <w:commentRangeStart w:id="2"/>
      <w:r>
        <w:rPr/>
        <w:t xml:space="preserve">Importantly, previous analyses often failed to extract ID4 and ID29 simultaneously, and frequently misclassified ID4 as ID-TOP1-TAM </w:t>
      </w:r>
      <w:r>
        <w:fldChar w:fldCharType="begin"/>
      </w:r>
      <w:r>
        <w:rPr/>
        <w:instrText xml:space="preserve">ADDIN ZOTERO_ITEM CSL_CITATION {"citationID":"0PjOKvaY","properties":{"formattedCitation":"(Jin et al. 2024; Koh et al. 2025; Reijns et al. 2022)","plainCitation":"(Jin et al. 2024; Koh et al. 2025; Reijns et al. 2022)","noteIndex":0},"citationItems":[{"id":"LB8OR9DJ/BOvVRPto","uris":["http://zotero.org/users/14858941/items/WC3TIICG"],"itemData":{"id":636,"type":"article-journal","abstract":"Mutational signature analysis is a recent computational approach for interpreting somatic mutations in the genome. Its application to cancer data has enhanced our understanding of mutational forces driving tumorigenesis and demonstrated its potential to inform prognosis and treatment decisions. However, methodological challenges remain for discovering new signatures and assigning proper weights to existing signatures, thereby hindering broader clinical applications. Here we present Mutational Signature Calculator (MuSiCal), a rigorous analytical framework with algorithms that solve major problems in the standard workflow. Our simulation studies demonstrate that MuSiCal outperforms state-of-the-art algorithms for both signature discovery and assignment. By reanalyzing more than 2,700 cancer genomes, we provide an improved catalog of signatures and their assignments, discover nine indel signatures absent in the current catalog, resolve long-standing issues with the ambiguous ‘flat’ signatures and give insights into signatures with unknown etiologies. We expect MuSiCal and the improved catalog to be a step towards establishing best practices for mutational signature analysis.","container-title":"Nature Genetics","DOI":"10.1038/s41588-024-01659-0","ISSN":"15461718","issue":"3","note":"PMID: 38361034\npublisher: Nature Research","page":"541-552","title":"Accurate and sensitive mutational signature analysis with MuSiCal","volume":"56","author":[{"family":"Jin","given":"Hu"},{"family":"Gulhan","given":"Doga C."},{"family":"Geiger","given":"Benedikt"},{"family":"Ben-Isvy","given":"Daniel"},{"family":"Geng","given":"David"},{"family":"Ljungström","given":"Viktor"},{"family":"Park","given":"Peter J."}],"issued":{"date-parts":[["2024",3,1]]}}},{"id":"LB8OR9DJ/700SJbQ9","uris":["http://zotero.org/users/14858941/items/TMR7S8H6"],"itemData":{"id":899,"type":"article-journal","abstract":"Abstract\n            Despite their deleterious effects, small insertions and deletions (InDels) have received far less attention than substitutions. Here we generated isogenic CRISPR-edited human cellular models of postreplicative repair dysfunction (PRRd), including individual and combined gene edits of DNA mismatch repair (MMR) and replicative polymerases (Pol ε and Pol δ). Unique, diverse InDel mutational footprints were revealed. However, the prevailing InDel classification framework was unable to discriminate these InDel signatures from background mutagenesis and from each other. To address this, we developed an alternative InDel classification system that considers flanking sequences and informative motifs (for example, longer homopolymers), enabling unambiguous InDel classification into 89 subtypes. Through focused characterization of seven tumor types from the 100,000 Genomes Project, we uncovered 37 InDel signatures; 27 were new. In addition to unveiling previously hidden biological insights, we also developed PRRDetect—a highly specific classifier of PRRd status in tumors, with potential implications for immunotherapies.","container-title":"Nature Genetics","DOI":"10.1038/s41588-025-02152-y","ISSN":"1061-4036, 1546-1718","journalAbbreviation":"Nat Genet","language":"en","source":"DOI.org (Crossref)","title":"A redefined InDel taxonomy provides insights into mutational signatures","URL":"https://www.nature.com/articles/s41588-025-02152-y","author":[{"family":"Koh","given":"Gene Ching Chiek"},{"family":"Nanda","given":"Arjun Scott"},{"family":"Rinaldi","given":"Giuseppe"},{"family":"Boushaki","given":"Soraya"},{"family":"Degasperi","given":"Andrea"},{"family":"Badja","given":"Cherif"},{"family":"Pregnall","given":"Andrew Marcel"},{"family":"Zhao","given":"Salome Jingchen"},{"family":"Chmelova","given":"Lucia"},{"family":"Black","given":"Daniella"},{"family":"Heskin","given":"Laura"},{"family":"Dias","given":"João"},{"family":"Young","given":"Jamie"},{"family":"Memari","given":"Yasin"},{"family":"Shooter","given":"Scott"},{"family":"Czarnecki","given":"Jan"},{"family":"Brown","given":"Matthew Arthur"},{"family":"Davies","given":"Helen Ruth"},{"family":"Zou","given":"Xueqing"},{"family":"Nik-Zainal","given":"Serena"}],"accessed":{"date-parts":[["2025",5,14]]},"issued":{"date-parts":[["2025",4,10]]}}},{"id":"LB8OR9DJ/uiRp1FZ5","uris":["http://zotero.org/users/14858941/items/X8LCP38K"],"itemData":{"id":726,"type":"article-journal","abstract":"Abstract\n            \n              The mutational landscape is shaped by many processes. Genic regions are vulnerable to mutation but are preferentially protected by transcription-coupled repair\n              1\n              . In microorganisms, transcription has been demonstrated to be mutagenic\n              2,3\n              ; however, the impact of transcription-associated mutagenesis remains to be established in higher eukaryotes\n              4\n              . Here we show that ID4—a cancer insertion–deletion (indel) mutation signature of unknown aetiology\n              5\n              characterized by short (2 to 5 base pair) deletions —is due to a transcription-associated mutagenesis process. We demonstrate that defective ribonucleotide excision repair in mammals is associated with the ID4 signature, with mutations occurring at a TNT sequence motif, implicating topoisomerase 1 (TOP1) activity at sites of genome-embedded ribonucleotides as a mechanistic basis. Such TOP1-mediated deletions occur somatically in cancer, and the ID-TOP1 signature is also found in physiological settings, contributing to genic de novo indel mutations in the germline. Thus, although topoisomerases protect against genome instability by relieving topological stress\n              6\n              , their activity may also be an important source of mutations in the human genome.","container-title":"Nature","DOI":"10.1038/s41586-022-04403-y","ISSN":"0028-0836, 1476-4687","issue":"7898","journalAbbreviation":"Nature","language":"en","page":"623-631","source":"DOI.org (Crossref)","title":"Signatures of TOP1 transcription-associated mutagenesis in cancer and germline","volume":"602","author":[{"family":"Reijns","given":"Martin A. M."},{"family":"Parry","given":"David A."},{"family":"Williams","given":"Thomas C."},{"family":"Nadeu","given":"Ferran"},{"family":"Hindshaw","given":"Rebecca L."},{"family":"Rios Szwed","given":"Diana O."},{"family":"Nicholson","given":"Michael D."},{"family":"Carroll","given":"Paula"},{"family":"Boyle","given":"Shelagh"},{"family":"Royo","given":"Romina"},{"family":"Cornish","given":"Alex J."},{"family":"Xiang","given":"Hang"},{"family":"Ridout","given":"Kate"},{"literal":"The Genomics England Research Consortium"},{"family":"Ambrose","given":"John C."},{"family":"Arumugam","given":"Prabhu"},{"family":"Bevers","given":"Roel"},{"family":"Bleda","given":"Marta"},{"family":"Boardman-Pretty","given":"Freya"},{"family":"Boustred","given":"Christopher R."},{"family":"Brittain","given":"Helen"},{"family":"Caulfield","given":"Mark J."},{"family":"Chan","given":"Georgia C."},{"family":"Elgar","given":"Greg"},{"family":"Fowler","given":"Tom"},{"family":"Giess","given":"Adam"},{"family":"Hamblin","given":"Angela"},{"family":"Henderson","given":"Shirley"},{"family":"Hubbard","given":"Tim J. P."},{"family":"Jackson","given":"Rob"},{"family":"Jones","given":"Louise J."},{"family":"Kasperaviciute","given":"Dalia"},{"family":"Kayikci","given":"Melis"},{"family":"Kousathanas","given":"Athanasios"},{"family":"Lahnstein","given":"Lea"},{"family":"Leigh","given":"Sarah E. A."},{"family":"Leong","given":"Ivonne U. S."},{"family":"Lopez","given":"Javier F."},{"family":"Maleady-Crowe","given":"Fiona"},{"family":"McEntagart","given":"Meriel"},{"family":"Minneci","given":"Federico"},{"family":"Moutsianas","given":"Loukas"},{"family":"Mueller","given":"Michael"},{"family":"Murugaesu","given":"Nirupa"},{"family":"Need","given":"Anna C."},{"family":"O’Donovan","given":"Peter"},{"family":"Odhams","given":"Chris A."},{"family":"Patch","given":"Christine"},{"family":"Pereira","given":"Mariana Buongermino"},{"family":"Perez-Gil","given":"Daniel"},{"family":"Pullinger","given":"John"},{"family":"Rahim","given":"Tahrima"},{"family":"Rendon","given":"Augusto"},{"family":"Rogers","given":"Tim"},{"family":"Savage","given":"Kevin"},{"family":"Sawant","given":"Kushmita"},{"family":"Scott","given":"Richard H."},{"family":"Siddiq","given":"Afshan"},{"family":"Sieghart","given":"Alexander"},{"family":"Smith","given":"Samuel C."},{"family":"Sosinsky","given":"Alona"},{"family":"Stuckey","given":"Alexander"},{"family":"Tanguy","given":"Mélanie"},{"family":"Taylor Tavares","given":"Ana Lisa"},{"family":"Thomas","given":"Ellen R. A."},{"family":"Thompson","given":"Simon R."},{"family":"Tucci","given":"Arianna"},{"family":"Welland","given":"Matthew J."},{"family":"Williams","given":"Eleanor"},{"family":"Witkowska","given":"Katarzyna"},{"family":"Wood","given":"Suzanne M."},{"literal":"Colorectal Cancer Domain UK 100,000 Genomes Project"},{"family":"Chubb","given":"Daniel"},{"family":"Cornish","given":"Alex"},{"family":"Kinnersley","given":"Ben"},{"family":"Houlston","given":"Richard"},{"family":"Wedge","given":"David"},{"family":"Gruber","given":"Andreas"},{"family":"Frangou","given":"Anna"},{"family":"Cross","given":"William"},{"family":"Graham","given":"Trevor"},{"family":"Sottoriva","given":"Andrea"},{"family":"Caravagna","given":"Gulio"},{"family":"Lopez-Bigas","given":"Nuria"},{"family":"Arnedo-Pac","given":"Claudia"},{"family":"Church","given":"David"},{"family":"Culliford","given":"Richard"},{"family":"Thorn","given":"Steve"},{"family":"Quirke","given":"Phil"},{"family":"Wood","given":"Henry"},{"family":"Tomlinson","given":"Ian"},{"family":"Noyvert","given":"Boris"},{"family":"Schuh","given":"Anna"},{"family":"Aden","given":"Konrad"},{"family":"Palles","given":"Claire"},{"family":"Campo","given":"Elias"},{"family":"Stankovic","given":"Tatjana"},{"family":"Taylor","given":"Martin S."},{"family":"Jackson","given":"Andrew P."}],"issued":{"date-parts":[["2022",2,24]]}}}],"schema":"https://github.com/citation-style-language/schema/raw/master/csl-citation.json"}</w:instrText>
      </w:r>
      <w:r>
        <w:rPr/>
      </w:r>
      <w:r>
        <w:rPr/>
        <w:fldChar w:fldCharType="separate"/>
      </w:r>
      <w:r>
        <w:rPr/>
        <w:t>(Jin et al. 2024; Koh et al. 2025; Reijns et al. 2022)</w:t>
      </w:r>
      <w:r>
        <w:rPr/>
      </w:r>
      <w:r>
        <w:rPr/>
        <w:fldChar w:fldCharType="end"/>
      </w:r>
      <w:r>
        <w:rPr/>
      </w:r>
      <w:commentRangeEnd w:id="2"/>
      <w:r>
        <w:commentReference w:id="2"/>
      </w:r>
      <w:r>
        <w:rPr/>
        <w:t xml:space="preserve">. Here, for the first time, we identified C_ID4 and H_ID29, along with their corresponding Koh89 representations (InsDel4a, InsDel4b, and InsDel29), using a de novo extraction approach. Compared to C_ID4, H_ID29 (corresponding to ID-TOP1-TAM) lacks signals representing the removal of 1–3 bp sequences from regions with more than three repeats or microhomologies. This pattern is also reflected in the Koh89 representations: InsDel4a and InsDel4b show a higher proportion of peaks at </w:t>
      </w:r>
      <w:r>
        <w:rPr>
          <w:i/>
          <w:iCs/>
        </w:rPr>
        <w:t>L(3,):U(3,):R(2,9)</w:t>
      </w:r>
      <w:r>
        <w:rPr/>
        <w:t xml:space="preserve">, while InsDel29 is dominated by the peak at </w:t>
      </w:r>
      <w:r>
        <w:rPr>
          <w:i/>
          <w:iCs/>
        </w:rPr>
        <w:t>L(2,8):U(1,2):R(2,4)</w:t>
      </w:r>
      <w:r>
        <w:rPr/>
        <w:t>.</w:t>
      </w:r>
    </w:p>
    <w:p>
      <w:pPr>
        <w:pStyle w:val="Normal"/>
        <w:rPr/>
      </w:pPr>
      <w:r>
        <w:rPr/>
        <w:t>Because Koh89 analysis is currently limited to human genomes (Koh et al., 2025), and due to the strong resemblance between InDel29 and InDel4a</w:t>
      </w:r>
      <w:r>
        <w:rPr>
          <w:rFonts w:hint="eastAsia"/>
        </w:rPr>
        <w:t>/4b</w:t>
      </w:r>
      <w:r>
        <w:rPr/>
        <w:t xml:space="preserve"> and their corresponding </w:t>
      </w:r>
      <w:r>
        <w:rPr>
          <w:rFonts w:hint="eastAsia"/>
        </w:rPr>
        <w:t>COSMIC83</w:t>
      </w:r>
      <w:r>
        <w:rPr/>
        <w:t xml:space="preserve"> signatures, we focused </w:t>
      </w:r>
      <w:r>
        <w:rPr>
          <w:rFonts w:hint="eastAsia"/>
        </w:rPr>
        <w:t xml:space="preserve">most of </w:t>
      </w:r>
      <w:r>
        <w:rPr/>
        <w:t>our subsequent analyses specifically on H_ID29.</w:t>
      </w:r>
      <w:r>
        <w:rPr>
          <w:rFonts w:hint="eastAsia"/>
        </w:rPr>
        <w:t xml:space="preserve"> </w:t>
      </w:r>
      <w:r>
        <w:rPr/>
        <w:t>Upon re-examining the rnh201Δ</w:t>
      </w:r>
      <w:r>
        <w:rPr>
          <w:rFonts w:hint="eastAsia"/>
        </w:rPr>
        <w:t xml:space="preserve"> </w:t>
      </w:r>
      <w:r>
        <w:rPr>
          <w:i/>
          <w:iCs/>
        </w:rPr>
        <w:t>Saccharomyces cerevisiae</w:t>
      </w:r>
      <w:r>
        <w:rPr/>
        <w:t xml:space="preserve"> genomes, we observed 2 bp deletion patterns similar to those of H_ID29, although deletions within microhomology were depleted (Williams et al. 2019; Conover et al. 2015</w:t>
      </w:r>
      <w:r>
        <w:rPr>
          <w:rFonts w:hint="eastAsia"/>
        </w:rPr>
        <w:t>, Figures S8</w:t>
      </w:r>
      <w:r>
        <w:rPr/>
        <w:t>).</w:t>
      </w:r>
      <w:r>
        <w:rPr>
          <w:rFonts w:hint="eastAsia"/>
        </w:rPr>
        <w:t xml:space="preserve"> </w:t>
      </w:r>
      <w:r>
        <w:rPr/>
        <w:t>We established an RNASEH2B deficiency model using the CRISPR/Cas9 system in the HEK293T cell line, and whole genome sequencing revealed patterns consistent with H_ID29</w:t>
      </w:r>
      <w:r>
        <w:rPr>
          <w:rFonts w:hint="eastAsia"/>
        </w:rPr>
        <w:t xml:space="preserve"> and InsDel29</w:t>
      </w:r>
      <w:r>
        <w:rPr/>
        <w:t xml:space="preserve"> (Figure </w:t>
      </w:r>
      <w:r>
        <w:rPr>
          <w:rFonts w:hint="eastAsia"/>
        </w:rPr>
        <w:t>8B</w:t>
      </w:r>
      <w:r>
        <w:rPr/>
        <w:t xml:space="preserve">). The primary peak predominantly represents the deletion of CT from 5’-CTCT-3’ (or AG from 5’-AGAG-3’), as indicated by the extended sequence analysis of RNASEH2B-KO cell lines and </w:t>
      </w:r>
      <w:r>
        <w:rPr>
          <w:rFonts w:hint="eastAsia"/>
        </w:rPr>
        <w:t xml:space="preserve">the </w:t>
      </w:r>
      <w:r>
        <w:rPr/>
        <w:t xml:space="preserve">five </w:t>
      </w:r>
      <w:r>
        <w:rPr>
          <w:rFonts w:hint="eastAsia"/>
        </w:rPr>
        <w:t>genomes</w:t>
      </w:r>
      <w:r>
        <w:rPr/>
        <w:t xml:space="preserve"> exhibiting the highest H_ID29 activity.</w:t>
      </w:r>
      <w:r>
        <w:rPr>
          <w:rFonts w:hint="eastAsia"/>
        </w:rPr>
        <w:t xml:space="preserve"> The weights of each </w:t>
      </w:r>
      <w:r>
        <w:rPr/>
        <w:t>nucleotide</w:t>
      </w:r>
      <w:r>
        <w:rPr>
          <w:rFonts w:hint="eastAsia"/>
        </w:rPr>
        <w:t xml:space="preserve"> on each position </w:t>
      </w:r>
      <w:r>
        <w:rPr/>
        <w:t>suggest</w:t>
      </w:r>
      <w:r>
        <w:rPr>
          <w:rFonts w:hint="eastAsia"/>
        </w:rPr>
        <w:t xml:space="preserve"> a preference of CTCT(deletion from repeats) or NTNT (deletion with microhomology) sequences at deletion sites for H_ID29, while NTNT (deletion from repeats) and CTNT (deletion from microhomology) at deletion sites for C_ID4 (Figure 8C). T</w:t>
      </w:r>
      <w:r>
        <w:rPr/>
        <w:t>umors exhibiting high H_ID29 activity show deletion sequences that closely resemble those observed in RNASEH2B null HEK293T cells, as well as in Rnaseh2b knockout mouse tumors and RNaseH2</w:t>
      </w:r>
      <w:r>
        <w:rPr>
          <w:rFonts w:hint="eastAsia"/>
        </w:rPr>
        <w:t>-</w:t>
      </w:r>
      <w:r>
        <w:rPr/>
        <w:t>null RPE1 cells (Figure</w:t>
      </w:r>
      <w:r>
        <w:rPr>
          <w:rFonts w:hint="eastAsia"/>
        </w:rPr>
        <w:t xml:space="preserve"> S6, Figure S9</w:t>
      </w:r>
      <w:r>
        <w:rPr/>
        <w:t>). In contrast, C_ID4 displays a more balanced preference for deleting CT and TT within tandem repeats, with a prevalent CTNTN motif found in microhomologies (</w:t>
      </w:r>
      <w:r>
        <w:rPr>
          <w:rFonts w:hint="eastAsia"/>
        </w:rPr>
        <w:t xml:space="preserve">Figure 8C, </w:t>
      </w:r>
      <w:r>
        <w:rPr/>
        <w:t>Figure</w:t>
      </w:r>
      <w:r>
        <w:rPr>
          <w:rFonts w:hint="eastAsia"/>
        </w:rPr>
        <w:t xml:space="preserve"> S9</w:t>
      </w:r>
      <w:r>
        <w:rPr/>
        <w:t>).</w:t>
      </w:r>
    </w:p>
    <w:p>
      <w:pPr>
        <w:pStyle w:val="Normal"/>
        <w:rPr/>
      </w:pPr>
      <w:r>
        <w:rPr/>
        <w:t xml:space="preserve">Collectively, </w:t>
      </w:r>
      <w:r>
        <w:rPr>
          <w:rFonts w:hint="eastAsia"/>
        </w:rPr>
        <w:t>our analysis</w:t>
      </w:r>
      <w:r>
        <w:rPr/>
        <w:t xml:space="preserve"> presents H_ID29 </w:t>
      </w:r>
      <w:r>
        <w:rPr>
          <w:rFonts w:hint="eastAsia"/>
        </w:rPr>
        <w:t xml:space="preserve">and InsDel29 </w:t>
      </w:r>
      <w:r>
        <w:rPr/>
        <w:t xml:space="preserve">as </w:t>
      </w:r>
      <w:r>
        <w:rPr>
          <w:rFonts w:hint="eastAsia"/>
        </w:rPr>
        <w:t>two</w:t>
      </w:r>
      <w:r>
        <w:rPr/>
        <w:t xml:space="preserve"> novel mutational signatures identified through de novo extraction from cancer genomic dat</w:t>
      </w:r>
      <w:r>
        <w:rPr>
          <w:rFonts w:hint="eastAsia"/>
        </w:rPr>
        <w:t>a, su</w:t>
      </w:r>
      <w:r>
        <w:rPr/>
        <w:t>ggesting its association with TOP1-dependent deletions in RNASEH2A and/or RNASEH2B deficient cells. Previous work by Reijns et al. developed RNASEH2A-deficient mammalian cell lines and Rnaseh2b-KO mouse intestinal cancer models, revealing the enrichment of 2 bp deletions from tandem repeats or microhomology (Reijns et al. 2022</w:t>
      </w:r>
      <w:r>
        <w:rPr>
          <w:rFonts w:hint="eastAsia"/>
        </w:rPr>
        <w:t>, Figure S9B, C</w:t>
      </w:r>
      <w:r>
        <w:rPr/>
        <w:t>). Our findings indicate that H_ID29 more closely resembles the mutational spectra from these knockout models than ID4, with average cosine similarities of 0.945 in mouse models, 0.965 in human cell line models, and 0.947 in yeast models, compared to C_ID4’s average cosine similarities of 0.690, 0.721, and 0.798 (</w:t>
      </w:r>
      <w:r>
        <w:rPr>
          <w:rFonts w:hint="eastAsia"/>
        </w:rPr>
        <w:t>Figure S8 B-D</w:t>
      </w:r>
      <w:r>
        <w:rPr/>
        <w:t xml:space="preserve">). </w:t>
      </w:r>
      <w:r>
        <w:rPr>
          <w:rFonts w:hint="eastAsia"/>
        </w:rPr>
        <w:t xml:space="preserve">Compared to ID4, H_ID29 shows </w:t>
      </w:r>
      <w:r>
        <w:rPr/>
        <w:t>an</w:t>
      </w:r>
      <w:r>
        <w:rPr>
          <w:rFonts w:hint="eastAsia"/>
        </w:rPr>
        <w:t xml:space="preserve"> almost depletion of long deletions (deletion length≥3) at repeats and microhomologies (Figure S6A). H_ID29 contributes to more mutations </w:t>
      </w:r>
      <w:r>
        <w:rPr/>
        <w:t xml:space="preserve">in </w:t>
      </w:r>
      <w:r>
        <w:rPr>
          <w:rFonts w:hint="eastAsia"/>
        </w:rPr>
        <w:t xml:space="preserve">transcribed regions compared to untranscribed regions, which is also observed in RNase H2 null in vitro models (Figure 8D). The consistent observations </w:t>
      </w:r>
      <w:r>
        <w:rPr/>
        <w:t>suggest</w:t>
      </w:r>
      <w:r>
        <w:rPr>
          <w:rFonts w:hint="eastAsia"/>
        </w:rPr>
        <w:t xml:space="preserve"> that H_ID29 is associated with a transcription associated mutational process. </w:t>
      </w:r>
      <w:r>
        <w:rPr/>
        <w:t>Thus, H_ID29</w:t>
      </w:r>
      <w:r>
        <w:rPr>
          <w:rFonts w:hint="eastAsia"/>
        </w:rPr>
        <w:t xml:space="preserve"> and InsDel29</w:t>
      </w:r>
      <w:r>
        <w:rPr/>
        <w:t xml:space="preserve"> provides a more accurate representation of the genomic footprints associated with TOP1-TAM (transcription-associated mutagenesis) during the cleavage of embedded ribonucleotides in the absence of RNASEH2A and/or RNASEH2B (S. N. Huang, Ghosh, and Pommier 2015; Sparks and Burgers 2015; Chon et al. 2009).</w:t>
      </w:r>
    </w:p>
    <w:p>
      <w:pPr>
        <w:pStyle w:val="Normal"/>
        <w:rPr/>
      </w:pPr>
      <w:r>
        <w:rPr/>
        <w:t xml:space="preserve">Functional and Demographic Associations </w:t>
      </w:r>
    </w:p>
    <w:p>
      <w:pPr>
        <w:pStyle w:val="Normal"/>
        <w:rPr/>
      </w:pPr>
      <w:r>
        <w:rPr/>
        <w:t>To assess the impact of mutational signatures on indel formation within cancer-related genes, we analyzed exonic regions of 581 Tier 1 genes from the Cancer Gene Census (Sondka et al., 2018). Deletions were most prevalent in ACVR2A, ARID1A, ATM, BAX, BCL11B, EBF1, ESR1, HNRNPA2B1, KAT6B, KMT2C, MECOM, NFIB, PBX1, PTPRK, QKI, RNF43, RPL22, TCF7L2, TPM4, and TP53</w:t>
      </w:r>
      <w:r>
        <w:rPr>
          <w:rFonts w:hint="eastAsia"/>
        </w:rPr>
        <w:t xml:space="preserve"> </w:t>
      </w:r>
      <w:r>
        <w:rPr/>
        <w:t xml:space="preserve">(Figure </w:t>
      </w:r>
      <w:r>
        <w:rPr>
          <w:rFonts w:hint="eastAsia"/>
        </w:rPr>
        <w:t>9A&amp;B</w:t>
      </w:r>
      <w:r>
        <w:rPr/>
        <w:t>). These events were primarily driven by DNA replication slippage, defective MMR, NHEJ, defective homologous recombination (HR), and tobacco smoking-associated signatures. Similar to insertions, TP53 deletions displayed diverse mutational patterns influenced by distinct processes: single-base cytosine deletions (DEL:C:1:1</w:t>
      </w:r>
      <w:r>
        <w:rPr>
          <w:rFonts w:hint="eastAsia"/>
        </w:rPr>
        <w:t>, [DEL(C):R2]T</w:t>
      </w:r>
      <w:r>
        <w:rPr/>
        <w:t>) were predominantly linked to tobacco smoking, while 2 bp deletions arising from tandem repeats or microhomologies were mediated by TOP1-TAM (H_ID29, InsDel29) and TOP2A p.K743N (C_ID17, InsDel17) signatures. Larger de novo deletions (&gt;5 bp) were associated mainly with HR deficiency and NHEJ activity.</w:t>
      </w:r>
      <w:r>
        <w:rPr>
          <w:rFonts w:hint="eastAsia"/>
        </w:rPr>
        <w:t xml:space="preserve"> </w:t>
      </w:r>
      <w:r>
        <w:rPr/>
        <w:t>The most frequently affected genes by insertions included ABI1, APC, AR, ARID1A, BAX, CDKN2A, CYLD, ERBB2, FBXO11, FGFR1, GRIN2A, HNF1A, HNRNPA2B1, MSH6, NF1, PBRM1, PHOX2B, TCF12, TCF7L2, and TP53. Notably, TP53 exhibited the highest frequency of various insertion types, such as single-base C/T insertions and long repeat insertions (INS:repeats:5+:1), largely attributable to signatures associated with DNA replication slippage, defective mismatch repair (MMR), TOP1-TAM, and non-homologous end joining (NHEJ) DNA repair</w:t>
      </w:r>
      <w:r>
        <w:rPr>
          <w:rFonts w:hint="eastAsia"/>
        </w:rPr>
        <w:t xml:space="preserve"> (</w:t>
      </w:r>
      <w:r>
        <w:rPr/>
        <w:t xml:space="preserve">Figure </w:t>
      </w:r>
      <w:r>
        <w:rPr>
          <w:rFonts w:hint="eastAsia"/>
        </w:rPr>
        <w:t>9 C&amp;D)</w:t>
      </w:r>
      <w:r>
        <w:rPr/>
        <w:t>.</w:t>
      </w:r>
    </w:p>
    <w:p>
      <w:pPr>
        <w:pStyle w:val="Normal"/>
        <w:rPr/>
      </w:pPr>
      <w:r>
        <w:rPr/>
        <w:t xml:space="preserve">We further explored the distribution of TP53 deletions across cancer types. While tobacco smoking signatures dominated in </w:t>
      </w:r>
      <w:r>
        <w:rPr>
          <w:rFonts w:hint="eastAsia"/>
        </w:rPr>
        <w:t xml:space="preserve">both deletion and insertions of single base cytosine in </w:t>
      </w:r>
      <w:r>
        <w:rPr/>
        <w:t xml:space="preserve">lung cancers, NHEJ DNA repair was the primary driver of TP53 deletions </w:t>
      </w:r>
      <w:r>
        <w:rPr>
          <w:rFonts w:hint="eastAsia"/>
        </w:rPr>
        <w:t xml:space="preserve">with length more than 5bp </w:t>
      </w:r>
      <w:r>
        <w:rPr/>
        <w:t>in bladder and biliary cancers (Figure S</w:t>
      </w:r>
      <w:r>
        <w:rPr>
          <w:rFonts w:hint="eastAsia"/>
        </w:rPr>
        <w:t>10</w:t>
      </w:r>
      <w:r>
        <w:rPr/>
        <w:t>)</w:t>
      </w:r>
      <w:r>
        <w:rPr>
          <w:rFonts w:hint="eastAsia"/>
        </w:rPr>
        <w:t xml:space="preserve">. </w:t>
      </w:r>
      <w:r>
        <w:rPr/>
        <w:t xml:space="preserve">This divergence underscores how tissue-specific mutational processes </w:t>
      </w:r>
      <w:r>
        <w:rPr>
          <w:rFonts w:hint="eastAsia"/>
        </w:rPr>
        <w:t>drive the key gene mutations in different type of cancers</w:t>
      </w:r>
    </w:p>
    <w:p>
      <w:pPr>
        <w:pStyle w:val="Normal"/>
        <w:rPr/>
      </w:pPr>
      <w:r>
        <w:rPr>
          <w:rFonts w:hint="eastAsia"/>
        </w:rPr>
        <w:t>T</w:t>
      </w:r>
      <w:r>
        <w:rPr/>
        <w:t>o explore potential gender differences in mutational signature activity, we performed two-sided Fisher’s exact tests with Benjamini–Hochberg correction (q &lt; 0.2; female as reference, OR &lt; 1 indicating male enrichment</w:t>
      </w:r>
      <w:r>
        <w:rPr>
          <w:rFonts w:hint="eastAsia"/>
        </w:rPr>
        <w:t>, Table S6</w:t>
      </w:r>
      <w:r>
        <w:rPr/>
        <w:t>). This analysis revealed nine significant gender-biased associations across tumor types, highlighting important biological distinctions in mutational processes between males and females. The most pronounced gender biases were found in the “Other” tumor category: both C_ID19 (OR = 0.027, q = 2.67×10</w:t>
      </w:r>
      <w:r>
        <w:rPr>
          <w:rFonts w:hint="eastAsia"/>
          <w:vertAlign w:val="superscript"/>
        </w:rPr>
        <w:t>-5</w:t>
      </w:r>
      <w:r>
        <w:rPr/>
        <w:t>) and InsDel19a (OR = 0.118, q = 1.84×10</w:t>
      </w:r>
      <w:r>
        <w:rPr>
          <w:rFonts w:hint="eastAsia"/>
          <w:vertAlign w:val="superscript"/>
        </w:rPr>
        <w:t>-4</w:t>
      </w:r>
      <w:r>
        <w:rPr/>
        <w:t>) were strongly enriched in males, while C_ID4 (OR = 3.13, q = 0.140) showed enrichment in females. Additional male-enriched signatures were observed in lung cancer (InsDel3: OR = 0.336, q = 0.051; C_ID3: OR = 0.359, q = 0.101</w:t>
      </w:r>
      <w:r>
        <w:rPr>
          <w:rFonts w:hint="eastAsia"/>
        </w:rPr>
        <w:t>; both due to tobacco smoking</w:t>
      </w:r>
      <w:r>
        <w:rPr/>
        <w:t>) and skin cancer (InsDel13: OR = 0.407, q = 0.144; C_ID13: OR = 0.408, q = 0.109</w:t>
      </w:r>
      <w:r>
        <w:rPr>
          <w:rFonts w:hint="eastAsia"/>
        </w:rPr>
        <w:t>; both due to ultraviolet light exposure</w:t>
      </w:r>
      <w:r>
        <w:rPr/>
        <w:t>). These findings likely reflect behavioral factors, as males are more likely to engage in tobacco smoking and experience greater sun exposure without adequate protection, resulting in higher prevalence of tobacco- and UV-associated mutational signatures. Conversely, female enrichment was identified for the skin-associated signature H_ID24 (OR = 3.83, q = 0.101) and lymphoid C_ID4 (OR = 2.49, q = 0.174). No other signature–cancer type combinations met the threshold of q &lt; 0.2. These findings suggest that certain mutational processes—and the underlying biological mechanisms driving them—may be influenced by gender, contributing to observed differences in cancer etiology and progression.</w:t>
      </w:r>
    </w:p>
    <w:p>
      <w:pPr>
        <w:pStyle w:val="Normal"/>
        <w:rPr/>
      </w:pPr>
      <w:r>
        <w:rPr/>
        <w:t>Discussion</w:t>
      </w:r>
    </w:p>
    <w:p>
      <w:pPr>
        <w:pStyle w:val="Normal"/>
        <w:rPr/>
      </w:pPr>
      <w:r>
        <w:rPr/>
        <w:t>Leveraging a novel nonparametric Bayesian framework, we conducted mutational signature analysis on over 7,000 whole-genome tumor samples spanning 25 cancer types from the PCAWG and HMF cohorts. As the first study to apply both the COSMIC83 and Koh89 taxonomies to such a large dataset, we established a comprehensive catalog of 33 COSMIC83 and 41 Koh89 signatures, alongside a unified mapping system to facilitate cross-referencing of signatures between the two classifications. Notably, we discovered two novel indel signatures (H_ID29 and InsDel29) associated with TOP1-TAM, and validated their biological relevance using both CRISPR/Cas9-mediated RNASEH2B knockout cell models and published data from RNaseH2-deficient systems. Additionally, we identified several indel signatures—four COSMIC83 and six Koh89—strongly associated with microsatellite instability (MSI), further elucidating the mutational footprints of defective MMR processes.</w:t>
      </w:r>
    </w:p>
    <w:p>
      <w:pPr>
        <w:pStyle w:val="Normal"/>
        <w:rPr/>
      </w:pPr>
      <w:r>
        <w:rPr/>
        <w:t xml:space="preserve">The recently developed Koh89 taxonomy by Koh et al. provided a new framework for classifying indels, particularly facilitating finer resolution of 1 bp T insertions and deletions in different contexts, and enabled more nuanced exploration of the genetic consequences of MMR defects. </w:t>
      </w:r>
      <w:r>
        <w:rPr>
          <w:rFonts w:hint="eastAsia"/>
        </w:rPr>
        <w:t xml:space="preserve">The study reported a 37 InDel signature database sourced from 4,775 genomes across 7 cancer types. </w:t>
      </w:r>
      <w:r>
        <w:rPr/>
        <w:t>However, challenges remain in connecting the nomenclature of Koh89 signatures to the established COSMIC COSMIC83 signature system; for instance, COSMIC ID5 is recognized as a clock-like signature, whereas Koh et al.'s InD5 likely reflects a sequencing artifact. By analyzing a larger and more diverse cancer genome cohort, we not only expanded the existing signature database but also systematically linked and unified the naming conventions of COSMIC83 and Koh89 signatures. This unified framework will support more consistent interpretation and application of indel mutational signatures</w:t>
      </w:r>
      <w:r>
        <w:rPr>
          <w:rFonts w:hint="eastAsia"/>
        </w:rPr>
        <w:t xml:space="preserve"> (Vignette).</w:t>
      </w:r>
    </w:p>
    <w:p>
      <w:pPr>
        <w:pStyle w:val="Normal"/>
        <w:rPr/>
      </w:pPr>
      <w:r>
        <w:rPr/>
        <w:t>We also conducted signature extraction using SigProfilerExtractor, an NMF-based model known for its robust performance in signature analysis (Figure S</w:t>
      </w:r>
      <w:r>
        <w:rPr>
          <w:rFonts w:hint="eastAsia"/>
        </w:rPr>
        <w:t>11</w:t>
      </w:r>
      <w:r>
        <w:rPr/>
        <w:t>, Islam et al., 2022</w:t>
      </w:r>
      <w:r>
        <w:rPr>
          <w:rFonts w:hint="eastAsia"/>
        </w:rPr>
        <w:t>, Table S7</w:t>
      </w:r>
      <w:r>
        <w:rPr/>
        <w:t>). However, this method proved ineffective for our large cohort, yielding an optimal solution of K=12 but failing to identify several previously established COSMIC signatures. Notably, a recent study reanalyze</w:t>
      </w:r>
      <w:r>
        <w:rPr>
          <w:rFonts w:hint="eastAsia"/>
        </w:rPr>
        <w:t>d</w:t>
      </w:r>
      <w:r>
        <w:rPr/>
        <w:t xml:space="preserve"> PCAWG indel genomes and discovered 25 </w:t>
      </w:r>
      <w:r>
        <w:rPr>
          <w:rFonts w:hint="eastAsia"/>
        </w:rPr>
        <w:t>C</w:t>
      </w:r>
      <w:r>
        <w:rPr/>
        <w:t>OSMI</w:t>
      </w:r>
      <w:r>
        <w:rPr>
          <w:rFonts w:hint="eastAsia"/>
        </w:rPr>
        <w:t>C83</w:t>
      </w:r>
      <w:r>
        <w:rPr/>
        <w:t xml:space="preserve"> mutational signatures, including 9 novel </w:t>
      </w:r>
      <w:r>
        <w:rPr>
          <w:shd w:fill="FF00FF" w:val="clear"/>
        </w:rPr>
        <w:t>signatures. Our analysis revealed that 3 of the 9 novel signatures identified by MuSiCal were also recapitulated in our findings (Figure S9, Jin et al., 2024). This limitation of SigProfilerExtractor is likely attributable to the challenges Non-negative Matrix Factorization faces in managing the high data sparsity and large sample size associated with</w:t>
      </w:r>
      <w:r>
        <w:rPr/>
        <w:t xml:space="preserve"> indels. Our study underscores the effectiveness of mSigHdp for mining large datasets and demonstrates its capability to reveal novel signatures in highly sparse, low-count data.</w:t>
      </w:r>
    </w:p>
    <w:p>
      <w:pPr>
        <w:pStyle w:val="Normal"/>
        <w:rPr/>
      </w:pPr>
      <w:r>
        <w:rPr/>
        <w:t>The identification of novel mutational signatures often poses challenges in linking them to specific mutational processes, a complexity exacerbated by the diverse mutational landscapes observed across pan-cancer datasets. By integrating additional data into mutational signature analysis, we anticipate uncovering further signatures that more comprehensively characterize genomic mutational processes.</w:t>
      </w:r>
      <w:r>
        <w:rPr>
          <w:rFonts w:hint="eastAsia"/>
        </w:rPr>
        <w:t xml:space="preserve"> </w:t>
      </w:r>
      <w:r>
        <w:rPr/>
        <w:t>Furthermore, we expect the development of mutational signatures as clinical biomarkers to enhance cancer diagnosis and treatment strategies.</w:t>
      </w:r>
      <w:bookmarkEnd w:id="0"/>
    </w:p>
    <w:p>
      <w:pPr>
        <w:pStyle w:val="Heading1"/>
        <w:ind w:hanging="0" w:start="0"/>
        <w:rPr/>
      </w:pPr>
      <w:r>
        <w:rPr/>
        <w:t>Materials and methods</w:t>
      </w:r>
    </w:p>
    <w:p>
      <w:pPr>
        <w:pStyle w:val="Heading2"/>
        <w:ind w:hanging="0" w:start="0"/>
        <w:rPr/>
      </w:pPr>
      <w:r>
        <w:rPr/>
        <w:t>Data sources</w:t>
      </w:r>
    </w:p>
    <w:p>
      <w:pPr>
        <w:pStyle w:val="Normal"/>
        <w:ind w:hanging="0" w:start="0"/>
        <w:rPr/>
      </w:pPr>
      <w:r>
        <w:rPr/>
        <w:t>Somatic indel calls from the ICGC/TCGA (International Cancer Genome Consortium/The Cancer Genome Atlas) Pan-Cancer Analysis of Whole Genomes Consortium and associated clinical characteristics were obtained from the ICGC data portal (</w:t>
      </w:r>
      <w:hyperlink r:id="rId4">
        <w:r>
          <w:rPr>
            <w:rStyle w:val="Hyperlink"/>
          </w:rPr>
          <w:t>https://dcc.icgc.org/releases/current/Projects/</w:t>
        </w:r>
      </w:hyperlink>
      <w:r>
        <w:rPr/>
        <w:t>, which has been retired. The data were downloaded on 9 May, 2024. Hartwig Medical Foundation through standardized procedures and request forms that can be found at https://www.hartwigmedicalfoundation.nl/en/appyling-for-data/</w:t>
      </w:r>
      <w:r>
        <w:rPr>
          <w:rFonts w:hint="eastAsia"/>
        </w:rPr>
        <w:t>.</w:t>
      </w:r>
      <w:r>
        <w:rPr/>
        <w:t xml:space="preserve"> Clinical traits such as cancer type, age and gender of the HMF genomes were found from supplementary files of </w:t>
      </w:r>
      <w:r>
        <w:rPr>
          <w:color w:val="000000"/>
        </w:rPr>
        <w:t>Priestley et al., 2019.</w:t>
      </w:r>
      <w:r>
        <w:rPr/>
        <w:t xml:space="preserve"> These data was also provided in Table S</w:t>
      </w:r>
      <w:r>
        <w:rPr>
          <w:rFonts w:hint="eastAsia"/>
        </w:rPr>
        <w:t>10 &lt;OF Prieslty&gt;</w:t>
      </w:r>
      <w:r>
        <w:rPr/>
        <w:t xml:space="preserve">. The COSMIC Cancer Gene Census was used to identify known cancer driver genes </w:t>
      </w:r>
      <w:sdt>
        <w:sdtPr>
          <w:tag w:val="MENDELEY_CITATION_v3_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"/>
          <w:id w:val="91759893"/>
        </w:sdtPr>
        <w:sdtContent>
          <w:r>
            <w:rPr/>
          </w:r>
          <w:r>
            <w:rPr>
              <w:color w:val="000000"/>
            </w:rPr>
            <w:t>(Sondka et al., 2018</w:t>
          </w:r>
          <w:r>
            <w:rPr>
              <w:rFonts w:hint="eastAsia"/>
              <w:color w:val="000000"/>
            </w:rPr>
            <w:t xml:space="preserve">, downloaded from </w:t>
          </w:r>
          <w:hyperlink r:id="rId5">
            <w:r>
              <w:rPr>
                <w:rStyle w:val="Hyperlink"/>
              </w:rPr>
              <w:t>https://cancer.sanger.ac.uk/cosmic/census?tier=1</w:t>
            </w:r>
          </w:hyperlink>
          <w:r>
            <w:rPr>
              <w:rFonts w:hint="eastAsia"/>
              <w:color w:val="000000"/>
            </w:rPr>
            <w:t xml:space="preserve"> on 9 Jun, 2024</w:t>
          </w:r>
          <w:r>
            <w:rPr>
              <w:color w:val="000000"/>
            </w:rPr>
            <w:t>)</w:t>
          </w:r>
        </w:sdtContent>
      </w:sdt>
      <w:r>
        <w:rPr/>
        <w:t>.</w:t>
      </w:r>
    </w:p>
    <w:p>
      <w:pPr>
        <w:pStyle w:val="Heading2"/>
        <w:ind w:hanging="0" w:start="0"/>
        <w:rPr/>
      </w:pPr>
      <w:r>
        <w:rPr/>
        <w:t>Mutational signature extraction</w:t>
      </w:r>
    </w:p>
    <w:p>
      <w:pPr>
        <w:pStyle w:val="Normal"/>
        <w:rPr/>
      </w:pPr>
      <w:r>
        <w:rPr/>
        <w:t xml:space="preserve">We used mSigHdp (v 2.1.2) for de novo mutational signature extraction analysis. When applying to all samples de novo mutational signatures were extracted using the cancer type to construct the hierarchy; when applying to </w:t>
      </w:r>
      <w:r>
        <w:rPr>
          <w:rFonts w:hint="eastAsia"/>
        </w:rPr>
        <w:t>genomes</w:t>
      </w:r>
      <w:r>
        <w:rPr/>
        <w:t xml:space="preserve"> of each cancer type</w:t>
      </w:r>
      <w:r>
        <w:rPr>
          <w:rFonts w:hint="eastAsia"/>
        </w:rPr>
        <w:t xml:space="preserve"> and high TMB genomes</w:t>
      </w:r>
      <w:r>
        <w:rPr/>
        <w:t>, the de novo mutational signatures were extracted with 2-layer HDP mixture models. In both scenario, we used the following parameters:  seedNumber=1234, burnin=1000, bunin.multiplier=20, post.n = 200, post.space = 100, num.child.process=20, gamma.alpha=1, gamma.beta=</w:t>
      </w:r>
      <w:r>
        <w:rPr>
          <w:rFonts w:hint="eastAsia"/>
        </w:rPr>
        <w:t>50</w:t>
      </w:r>
      <w:r>
        <w:rPr/>
        <w:t xml:space="preserve">. </w:t>
      </w:r>
    </w:p>
    <w:p>
      <w:pPr>
        <w:pStyle w:val="Normal"/>
        <w:rPr/>
      </w:pPr>
      <w:r>
        <w:rPr/>
        <w:t xml:space="preserve">For SigProfilerExtractor, </w:t>
      </w:r>
      <w:r>
        <w:rPr>
          <w:i/>
          <w:iCs/>
        </w:rPr>
        <w:t>de novo</w:t>
      </w:r>
      <w:r>
        <w:rPr/>
        <w:t xml:space="preserve"> mutational signatures were extracted from each mutational matrix using SigProfilerExtractor and default parameters (v1.1.24). NMF was performed with finding solutions between k = 10 and k = 30 signatures; each factorization was repeated 100 times.</w:t>
      </w:r>
      <w:r>
        <w:rPr>
          <w:rFonts w:hint="eastAsia"/>
        </w:rPr>
        <w:t xml:space="preserve"> We ran MuSiCal with the following parameters: min_n_components=9, max_n_components=33, method=“mvnmf”, n_replicates=100, max_iter=10000, min_iter=1000.</w:t>
      </w:r>
    </w:p>
    <w:p>
      <w:pPr>
        <w:pStyle w:val="Normal"/>
        <w:rPr/>
      </w:pPr>
      <w:r>
        <w:rPr/>
        <w:t>Match mSigHdp signatures into COSMIC reference signatures</w:t>
      </w:r>
    </w:p>
    <w:p>
      <w:pPr>
        <w:pStyle w:val="Normal"/>
        <w:rPr/>
      </w:pPr>
      <w:r>
        <w:rPr/>
        <w:t>The mSigHdp signatures were matched to previously identified COSMIC signatures (v3.4). We compared all de novo signatures to COSMIC signatures and categorized them into three groups: (1) known signature: if a mSigHdp signature has a cosine similarity of ≥ 0.</w:t>
      </w:r>
      <w:r>
        <w:rPr>
          <w:rFonts w:hint="eastAsia"/>
        </w:rPr>
        <w:t>85</w:t>
      </w:r>
      <w:r>
        <w:rPr/>
        <w:t xml:space="preserve"> with a COSMIC signature; (2) merged signatures: if a mSigHdp signatures can be reconstructed by at most </w:t>
      </w:r>
      <w:r>
        <w:rPr>
          <w:rFonts w:hint="eastAsia"/>
        </w:rPr>
        <w:t>3</w:t>
      </w:r>
      <w:r>
        <w:rPr/>
        <w:t xml:space="preserve"> COSMIC signatures with a reconstructed similarity of ≥ 0.</w:t>
      </w:r>
      <w:r>
        <w:rPr>
          <w:rFonts w:hint="eastAsia"/>
        </w:rPr>
        <w:t>9</w:t>
      </w:r>
      <w:r>
        <w:rPr/>
        <w:t xml:space="preserve">; (3) novel signatures: the signatures do not fit into the known signatures or the merged signatures. </w:t>
      </w:r>
    </w:p>
    <w:p>
      <w:pPr>
        <w:pStyle w:val="Heading2"/>
        <w:ind w:hanging="0" w:start="0"/>
        <w:rPr/>
      </w:pPr>
      <w:r>
        <w:rPr/>
        <w:t>Signature attribution analysis</w:t>
      </w:r>
    </w:p>
    <w:p>
      <w:pPr>
        <w:pStyle w:val="normalfirst"/>
        <w:rPr/>
      </w:pPr>
      <w:r>
        <w:rPr/>
        <w:t xml:space="preserve">The </w:t>
      </w:r>
      <w:r>
        <w:rPr>
          <w:rFonts w:hint="eastAsia"/>
        </w:rPr>
        <w:t>COSMIC83 and Koh89</w:t>
      </w:r>
      <w:r>
        <w:rPr/>
        <w:t xml:space="preserve"> signature activities were attributed to each sample using a two-step approach: first, we used find_best_reconstruction_QP function of SigTools R package (v1.0.7) to which provides a fast signature attribution analysis with quadratic programming optimization; second, we used the PresenceAttributeSigActivity function and default parameters in mSigAct R package (v3.0.1) to further refined the result from the previous step. </w:t>
      </w:r>
    </w:p>
    <w:p>
      <w:pPr>
        <w:pStyle w:val="Heading2"/>
        <w:ind w:hanging="0" w:start="0"/>
        <w:rPr/>
      </w:pPr>
      <w:r>
        <w:rPr/>
        <w:t>Simulating synthetic cancer datasets</w:t>
      </w:r>
    </w:p>
    <w:p>
      <w:pPr>
        <w:pStyle w:val="normalfirst"/>
        <w:rPr/>
      </w:pPr>
      <w:r>
        <w:rPr/>
        <w:t>Synthetic cancer datasets were simulated using SigProfilerSimulator (</w:t>
      </w:r>
      <w:hyperlink r:id="rId6">
        <w:r>
          <w:rPr>
            <w:rStyle w:val="Hyperlink"/>
          </w:rPr>
          <w:t>https://bmcbioinformatics.biomedcentral.com/articles/10.1186/s12859-020-03772-3</w:t>
        </w:r>
      </w:hyperlink>
      <w:r>
        <w:rPr/>
        <w:t xml:space="preserve">). </w:t>
      </w:r>
    </w:p>
    <w:p>
      <w:pPr>
        <w:pStyle w:val="Heading2"/>
        <w:ind w:hanging="0" w:start="0"/>
        <w:rPr/>
      </w:pPr>
      <w:r>
        <w:rPr/>
        <w:t>Annotating somatic indels based on transcribed versus un-transcribed strand</w:t>
      </w:r>
    </w:p>
    <w:p>
      <w:pPr>
        <w:pStyle w:val="normalfirst"/>
        <w:rPr/>
      </w:pPr>
      <w:r>
        <w:rPr/>
        <w:t>We followed the method in (</w:t>
      </w:r>
      <w:hyperlink r:id="rId7">
        <w:r>
          <w:rPr>
            <w:rStyle w:val="Style7"/>
          </w:rPr>
          <w:t>https://doi.org/10.1016/j.celrep.2023.112930</w:t>
        </w:r>
      </w:hyperlink>
      <w:r>
        <w:rP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protein coding genes were further subclassified as transcribed (template) if the gene’s sense strand was on the + strand of the genome, or else un-transcribed (sense). The logic was inverted for – strand indels. Indels in bidirectionally transcribed regions were ignored. </w:t>
      </w:r>
    </w:p>
    <w:p>
      <w:pPr>
        <w:pStyle w:val="Heading2"/>
        <w:ind w:hanging="0" w:start="0"/>
        <w:rPr/>
      </w:pPr>
      <w:r>
        <w:rPr/>
        <w:t>Annotating somatic indels based on leading versus lagging replication strand</w:t>
      </w:r>
    </w:p>
    <w:p>
      <w:pPr>
        <w:pStyle w:val="normalfirst"/>
        <w:rPr/>
      </w:pPr>
      <w:r>
        <w:rPr/>
        <w:t>Replication strand was determined by wavelet-smoothed replication-timing signal data that indicated both “valleys” (replication termination zones) and “peaks” (replication initiation zones) (</w:t>
      </w:r>
      <w:hyperlink r:id="rId8">
        <w:r>
          <w:rPr>
            <w:rStyle w:val="Hyperlink"/>
          </w:rPr>
          <w:t>https://hgdownload.cse.ucsc.edu/goldenPath/hg19/encodeDCC/wgEncodeUwRepliSeq/</w:t>
        </w:r>
      </w:hyperlink>
      <w:r>
        <w:rPr/>
        <w:t>). Valleys and peaks were sorted by the genomic coordinate in ascending order. In regard to + strand of the reference genome, replication timing signal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pPr>
        <w:pStyle w:val="Heading2"/>
        <w:ind w:hanging="0" w:start="0"/>
        <w:rPr/>
      </w:pPr>
      <w:r>
        <w:rPr/>
        <w:t>Detecting strand asymmetries across cancer types</w:t>
      </w:r>
    </w:p>
    <w:p>
      <w:pPr>
        <w:pStyle w:val="normalfirst"/>
        <w:rPr/>
      </w:pPr>
      <w:r>
        <w:rPr/>
        <w:t>Strand asymmetry analyses were based on the assignment of signature probabilities to each individual indel mutation. Only indels with the probability greater than or equal to 0.50 to a certain ID signature were retained. For each ID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pPr>
        <w:pStyle w:val="Normal"/>
        <w:rPr/>
      </w:pPr>
      <w:r>
        <w:rPr/>
        <w:t>For each strand asymmetry analyses (genic and intergenic region asymmetry</w:t>
      </w:r>
      <w:r>
        <w:rPr>
          <w:rFonts w:hint="eastAsia"/>
        </w:rPr>
        <w:t>,</w:t>
      </w:r>
      <w:r>
        <w:rPr/>
        <w:t xml:space="preserve"> transcription strand asymmetry, replication strand asymmetry)</w:t>
      </w:r>
      <w:r>
        <w:rPr>
          <w:rFonts w:hint="eastAsia"/>
        </w:rPr>
        <w:t>,</w:t>
      </w:r>
      <w:r>
        <w:rP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pPr>
        <w:pStyle w:val="Normal"/>
        <w:rPr/>
      </w:pPr>
      <w:r>
        <w:rPr/>
      </w:r>
    </w:p>
    <w:p>
      <w:pPr>
        <w:pStyle w:val="Normal"/>
        <w:rPr/>
      </w:pPr>
      <w:r>
        <w:rPr/>
        <w:t>Odds ratio between the ratio of real somatic indels and the ratio of simulated somatic indels was calculated:</w:t>
      </w:r>
    </w:p>
    <w:p>
      <w:pPr>
        <w:pStyle w:val="Normal"/>
        <w:rPr/>
      </w:pPr>
      <w:r>
        <w:rPr/>
      </w:r>
    </w:p>
    <w:p>
      <w:pPr>
        <w:pStyle w:val="Normal"/>
        <w:rPr/>
      </w:pPr>
      <w:r>
        <w:rPr/>
        <w:t>p values were calculated for the odds ratio using Fisher’s exact test. Only strand asymmetries with p value &gt; 0.05 were considered showing strand asymmetries.</w:t>
      </w:r>
    </w:p>
    <w:p>
      <w:pPr>
        <w:pStyle w:val="Heading2"/>
        <w:ind w:hanging="0" w:start="0"/>
        <w:rPr/>
      </w:pPr>
      <w:r>
        <w:rPr/>
        <w:t>Analyses of replication timing across cancer types</w:t>
      </w:r>
    </w:p>
    <w:p>
      <w:pPr>
        <w:pStyle w:val="normalfirst"/>
        <w:rPr/>
      </w:pPr>
      <w:r>
        <w:rPr/>
        <w:t>Replication timing data were obtained from (</w:t>
      </w:r>
      <w:hyperlink r:id="rId9">
        <w:r>
          <w:rPr>
            <w:rStyle w:val="Hyperlink"/>
          </w:rPr>
          <w:t>https://genomebiology.biomedcentral.com/articles/10.1186/s13059-018-1509-y</w:t>
        </w:r>
      </w:hyperlink>
      <w:r>
        <w:rPr/>
        <w:t>)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ID signature, the reported replication timing analyses included only cancer types with at least 1,000 somatic mutations unambiguously attributed to it.</w:t>
      </w:r>
    </w:p>
    <w:p>
      <w:pPr>
        <w:pStyle w:val="Normal"/>
        <w:rPr/>
      </w:pPr>
      <w:r>
        <w:rPr/>
        <w:t>Replication timing mutation counts were generated for both real and simulated somatic indels. To classify whether the replication timing mutation density was increasing, flat, or decreasing, two linear regression models were fitted to the values of the real somatic indels count R(X</w:t>
      </w:r>
      <w:r>
        <w:rPr>
          <w:vertAlign w:val="subscript"/>
        </w:rPr>
        <w:t>1</w:t>
      </w:r>
      <w:r>
        <w:rPr/>
        <w:t>, X</w:t>
      </w:r>
      <w:r>
        <w:rPr>
          <w:vertAlign w:val="subscript"/>
        </w:rPr>
        <w:t>2</w:t>
      </w:r>
      <w:r>
        <w:rPr/>
        <w:t>, X</w:t>
      </w:r>
      <w:r>
        <w:rPr>
          <w:vertAlign w:val="subscript"/>
        </w:rPr>
        <w:t>3</w:t>
      </w:r>
      <w:r>
        <w:rPr/>
        <w:t>, … X</w:t>
      </w:r>
      <w:r>
        <w:rPr>
          <w:vertAlign w:val="subscript"/>
        </w:rPr>
        <w:t>10</w:t>
      </w:r>
      <w:r>
        <w:rPr/>
        <w:t>) and the values of simulated somatic indel counts S(X</w:t>
      </w:r>
      <w:r>
        <w:rPr>
          <w:vertAlign w:val="subscript"/>
        </w:rPr>
        <w:t>1</w:t>
      </w:r>
      <w:r>
        <w:rPr/>
        <w:t>, X</w:t>
      </w:r>
      <w:r>
        <w:rPr>
          <w:vertAlign w:val="subscript"/>
        </w:rPr>
        <w:t>2</w:t>
      </w:r>
      <w:r>
        <w:rPr/>
        <w:t>, X</w:t>
      </w:r>
      <w:r>
        <w:rPr>
          <w:vertAlign w:val="subscript"/>
        </w:rPr>
        <w:t>3</w:t>
      </w:r>
      <w:r>
        <w:rPr/>
        <w:t>, … X</w:t>
      </w:r>
      <w:r>
        <w:rPr>
          <w:vertAlign w:val="subscript"/>
        </w:rPr>
        <w:t>10</w:t>
      </w:r>
      <w:r>
        <w:rPr/>
        <w:t>), respectively.</w:t>
      </w:r>
    </w:p>
    <w:p>
      <w:pPr>
        <w:pStyle w:val="Normal"/>
        <w:rPr/>
      </w:pPr>
      <w:r>
        <w:rPr/>
      </w:r>
    </w:p>
    <w:p>
      <w:pPr>
        <w:pStyle w:val="Normal"/>
        <w:rPr/>
      </w:pPr>
      <w:r>
        <w:rPr/>
      </w:r>
    </w:p>
    <w:p>
      <w:pPr>
        <w:pStyle w:val="Normal"/>
        <w:rPr/>
      </w:pPr>
      <w:r>
        <w:rPr/>
        <w:t>In the above formula, replication timing denotes a vector c(1,2,3 … 10).</w:t>
      </w:r>
    </w:p>
    <w:p>
      <w:pPr>
        <w:pStyle w:val="Normal"/>
        <w:rPr/>
      </w:pPr>
      <w:r>
        <w:rPr/>
        <w:t xml:space="preserve">The replication timing trend for an ID signature was determined for both real and simulated data. An ID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pPr>
        <w:pStyle w:val="Normal"/>
        <w:rPr/>
      </w:pPr>
      <w:r>
        <w:rPr/>
        <w:t xml:space="preserve">If the trends of a certain ID signature for the two dataset (real and simulated data) were different, the relative trend for real data comparing the simulated data was the final trend for the ID signature. Otherwise, if the trends of a certain ID signature for the two dataset were the same, a third multiple linear regression model was fitted. </w:t>
      </w:r>
    </w:p>
    <w:p>
      <w:pPr>
        <w:pStyle w:val="Normal"/>
        <w:rPr/>
      </w:pPr>
      <w:r>
        <w:rPr/>
      </w:r>
    </w:p>
    <w:p>
      <w:pPr>
        <w:pStyle w:val="Normal"/>
        <w:rPr/>
      </w:pPr>
      <w:r>
        <w:rPr/>
        <w:t>Similarly, the final trend of an ID signature were determined by the significance of the coefficient of replication timing. If it is not significant, an ID signature was considered to be generally unaffected by replication timing. Otherwise, if the coefficient of replication timing &gt; 0, an ID signature was considered to be increasing from early to late replicating regions; if the coefficient of replication timing &lt; 0, an ID signature was considered to be decreasing from early to late replicating regions.</w:t>
      </w:r>
    </w:p>
    <w:p>
      <w:pPr>
        <w:pStyle w:val="Heading2"/>
        <w:ind w:hanging="0" w:start="0"/>
        <w:rPr/>
      </w:pPr>
      <w:r>
        <w:rPr/>
        <w:t>sgRNA design and Plasmid construction</w:t>
      </w:r>
    </w:p>
    <w:p>
      <w:pPr>
        <w:pStyle w:val="normalfirst"/>
        <w:rPr/>
      </w:pPr>
      <w:r>
        <w:rPr/>
        <w:t xml:space="preserve">Exon 1 human </w:t>
      </w:r>
      <w:bookmarkStart w:id="1" w:name="_Hlk191059301"/>
      <w:r>
        <w:rPr/>
        <w:t>RNASEH2b</w:t>
      </w:r>
      <w:bookmarkEnd w:id="1"/>
      <w:r>
        <w:rPr/>
        <w:t xml:space="preserve"> gene was selected for targeting. sgR</w:t>
      </w:r>
      <w:r>
        <w:rPr>
          <w:rFonts w:hint="eastAsia"/>
        </w:rPr>
        <w:t>NA</w:t>
      </w:r>
      <w:r>
        <w:rPr/>
        <w:t xml:space="preserve"> for double-strand breaks was designed by online software (http://tools.genome-engineering.org). The sequences of targets are sgRNA1 ACCACTAGCGGAGCCGCGA and sgRNA2</w:t>
      </w:r>
      <w:r>
        <w:rPr>
          <w:rFonts w:hint="eastAsia"/>
        </w:rPr>
        <w:t xml:space="preserve"> </w:t>
      </w:r>
      <w:r>
        <w:rPr/>
        <w:t xml:space="preserve">GCCGGTCATCATCCACACGG. px330A-GFP and px330-S2 plasmids were gifts from Shang Li’s laboratory followed by the published protocol </w:t>
      </w:r>
      <w:r>
        <w:fldChar w:fldCharType="begin"/>
      </w:r>
      <w:r>
        <w:rPr/>
        <w:instrText xml:space="preserve">ADDIN ZOTERO_ITEM CSL_CITATION {"citationID":"bNYsDeYf","properties":{"formattedCitation":"(Ramlee et al. 2015)","plainCitation":"(Ramlee et al. 2015)","noteIndex":0},"citationItems":[{"id":"LB8OR9DJ/08wEpBOz","uris":["http://zotero.org/users/14858941/items/UGKVPCEC"],"itemData":{"id":946,"type":"article-journal","abstract":"Abstract\n            \n              Recent advances in the engineering of sequence-specific synthetic nucleases provide enormous opportunities for genetic manipulation of gene expression in order to study their cellular function\n              in vivo\n              . However, current genotyping methods to detect these programmable nuclease-induced insertion/deletion (indel) mutations in targeted human cells are not compatible for high-throughput screening of knockout clones due to inherent limitations and high cost. Here, we describe an efficient method of genotyping clonal CRISPR/Cas9-mediated mutants in a high-throughput manner involving the use of a direct lysis buffer to extract crude genomic DNA straight from cells in culture and fluorescent PCR coupled with capillary gel electrophoresis. This technique also allows for genotyping of multiplexed gene targeting in a single clone. Overall, this time- and cost-saving technique is able to circumvent the limitations of current genotyping methods and support high-throughput screening of nuclease-induced mutants.","container-title":"Scientific Reports","DOI":"10.1038/srep15587","ISSN":"2045-2322","issue":"1","journalAbbreviation":"Sci Rep","language":"en","page":"15587","source":"DOI.org (Crossref)","title":"High-throughput genotyping of CRISPR/Cas9-mediated mutants using fluorescent PCR-capillary gel electrophoresis","volume":"5","author":[{"family":"Ramlee","given":"Muhammad Khairul"},{"family":"Yan","given":"Tingdong"},{"family":"Cheung","given":"Alice M. S."},{"family":"Chuah","given":"Charles T. H."},{"family":"Li","given":"Shang"}],"issued":{"date-parts":[["2015",10,26]]}}}],"schema":"https://github.com/citation-style-language/schema/raw/master/csl-citation.json"}</w:instrText>
      </w:r>
      <w:r>
        <w:rPr/>
      </w:r>
      <w:r>
        <w:rPr/>
        <w:fldChar w:fldCharType="separate"/>
      </w:r>
      <w:r>
        <w:rPr/>
        <w:t>(Ramlee et al. 2015)</w:t>
      </w:r>
      <w:r>
        <w:rPr/>
      </w:r>
      <w:r>
        <w:rPr/>
        <w:fldChar w:fldCharType="end"/>
      </w:r>
      <w:r>
        <w:rPr/>
        <w:t xml:space="preserve">. Briefly, top and bottom strand primers were phosphorylating and annealing using T4 PNK from NEB (New England Biolabs, cat M0201S). Cloning of the annealed two sgRNA inserts into px330A-GFP plasmid (sgRNA1) and px330-S2 plasmid (sgRNA2) respectively. Transforming the above-mentioned reactions into One Shot™ Stbl3™ Chemically Competent E. coli (Thermofisher scientific, Cat No C737303). Subsequently restrictive enzyme digesting of px330-S2-sgRNA2 plasmid with BsaI-HF (New England Biolabs, cat NEB #R3535) and cloning the digested fragment containing sgRNA2 into px330A-GFP-sgRNA1 plasmid to form px330A-GFP sgRNA1&amp;sgRNA2 plasmid by the golden gate assembly. Plasmid DNA was extracted and purified by QIAprep Spin Miniprep Kit (Qiagen, Cat No. 27106) and sequenced to ensure the correct sgRNA sequences. </w:t>
      </w:r>
    </w:p>
    <w:p>
      <w:pPr>
        <w:pStyle w:val="Heading2"/>
        <w:ind w:hanging="0" w:start="0"/>
        <w:rPr/>
      </w:pPr>
      <w:r>
        <w:rPr/>
        <w:t xml:space="preserve">Cell culture and plasmid transfection </w:t>
      </w:r>
    </w:p>
    <w:p>
      <w:pPr>
        <w:pStyle w:val="normalfirst"/>
        <w:rPr/>
      </w:pPr>
      <w:r>
        <w:rPr/>
        <w:t xml:space="preserve">HEK293T cells were maintained in DMEM (Dulbecco's Modified Eagle Medium, Gibco™, Cat. No.11995065) containing 10% FBS (Gibco™ Fetal Bovine Serum, Cat. No. A5256801) and 1% Penicillin-Streptomycin (10,000 U/mL, Gibco™, Cat. No. 15140122) and incubated at 37°C incubator supplied with 5% CO2. Cells were seeded at 2× 105 cells per well of a 6-well plate and transfected with 2 μg of plasmid next day using Lipofectamine™ 3000 Transfection Reagent (Invitrogen™, Cat. No. L3000150) as per manufacturer’s recommendation. </w:t>
      </w:r>
    </w:p>
    <w:p>
      <w:pPr>
        <w:pStyle w:val="Heading2"/>
        <w:ind w:hanging="0" w:start="0"/>
        <w:rPr/>
      </w:pPr>
      <w:r>
        <w:rPr>
          <w:shd w:fill="FFFFFF" w:val="clear"/>
        </w:rPr>
        <w:t>RNASEH2</w:t>
      </w:r>
      <w:r>
        <w:rPr>
          <w:rFonts w:hint="eastAsia"/>
          <w:shd w:fill="FFFFFF" w:val="clear"/>
        </w:rPr>
        <w:t>B</w:t>
      </w:r>
      <w:r>
        <w:rPr>
          <w:shd w:fill="FFFFFF" w:val="clear"/>
        </w:rPr>
        <w:t xml:space="preserve"> KO cells selection by direct Cell lysis PCR and </w:t>
      </w:r>
      <w:r>
        <w:rPr/>
        <w:t>Western blot</w:t>
      </w:r>
    </w:p>
    <w:p>
      <w:pPr>
        <w:pStyle w:val="normalfirst"/>
        <w:rPr/>
      </w:pPr>
      <w:r>
        <w:rPr/>
        <w:t>After 2 days of transfection, HEK293T cells were sorted to GFP-positive single cell into 96-well plate using FACSAria III (BD Biosciences). The single cell was continued to culture around 2 to 3 weeks in the 96-well plate until the colony could be visualized by eyes. Cell colonies were trypsinized by 10ul of 0.05% (1:10 dilution of 0.5% Trypsin-EDTA no phenol red, Gibco™, Cat. No.  15400054). Cell suspension was divided to half. Half of the cells were kept in culture. The rest half of cells was added to 10μl of Direct-Lyse lysis buffer (10mM Tris pH 8.0, 2.5mM EDTA, 0.2M NaCl, 0.15% SDS, 0.3% Tween-20) in PCR tube. The cells were then subjected to a series of heating and cooling to ensure complete lysis: 65 °C for 30s, 8 °C for 30s, 65 °C for 1.5min, 97 °C for 3min, 8 °C for 1min, 65 °C for 3min, 97 °C for 1min, 65 °C for 1min, and 80 °C for 10min</w:t>
      </w:r>
      <w:r>
        <w:rPr>
          <w:rFonts w:hint="eastAsia"/>
        </w:rPr>
        <w:t xml:space="preserve"> </w:t>
      </w:r>
      <w:r>
        <w:fldChar w:fldCharType="begin"/>
      </w:r>
      <w:r>
        <w:rPr>
          <w:rFonts w:hint="eastAsia"/>
        </w:rPr>
        <w:instrText xml:space="preserve">ADDIN ZOTERO_ITEM CSL_CITATION {"citationID":"WrvkQV9P","properties":{"formattedCitation":"(Joung et al. 2017)","plainCitation":"(Joung et al. 2017)","noteIndex":0},"citationItems":[{"id":"LB8OR9DJ/53Dijp62","uris":["http://zotero.org/users/14858941/items/UCSCKFFU"],"itemData":{"id":945,"type":"article-journal","abstract":"Forward genetic screens are powerful tools for the unbiased discovery and functional characterization of specific genetic elements associated with a phenotype of interest. Recently, the RNA-guided endonuclease Cas9 from the microbial CRISPR (clustered regularly interspaced short palindromic repeats) immune system has been adapted for genome-scale screening by combining Cas9 with pooled guide RNA libraries. Here we describe a protocol for genome-scale knockout and transcriptional activation screening using the CRISPR-Cas9 system. Custom- or ready-made guide RNA libraries are constructed and packaged into lentiviral vectors for delivery into cells for screening. As each screen is unique, we provide guidelines for determining screening parameters and maintaining sufficient coverage. To validate candidate genes identified from the screen, we further describe strategies for confirming the screening phenotype as well as genetic perturbation through analysis of indel rate and transcriptional activation. Beginning with library design, a genome-scale screen can be completed in 9–15 weeks followed by 4–5 weeks of validation.","container-title":"Nature Protocols","DOI":"10.1038/nprot.2017.016","ISSN":"1754-2189, 1750-2799","issue":"4","journalAbbreviation":"Nat Protoc","language":"en","page":"828-863","source":"DOI.org (Crossref)","title":"Genome-scale CRISPR-Cas9 knockout and transcriptional activation screening","volume":"12","author":[{"family":"Joung","given":"Julia"},{"family":"Konermann","given":"Silvana"},{"family":"Gootenberg","given":"Jonathan S"},{"family":"Abudayyeh","given":"Omar O"},{"family":"Platt","given":"Randall J"},{"family":"Brigham","given":"Mark D"},{"family":"Sanjana","given":"Neville E"},{"family":"Zhang","given":"Feng"}],"issued":{"date-parts":[["2017",4]]}}}],"schema":"https://github.com/citation-style-language/schema/raw/master/csl-citation.json"}</w:instrText>
      </w:r>
      <w:r>
        <w:rPr>
          <w:rFonts w:hint="eastAsia"/>
        </w:rPr>
      </w:r>
      <w:r>
        <w:rPr>
          <w:rFonts w:hint="eastAsia"/>
        </w:rPr>
        <w:fldChar w:fldCharType="separate"/>
      </w:r>
      <w:r>
        <w:rPr>
          <w:rFonts w:hint="eastAsia"/>
        </w:rPr>
      </w:r>
      <w:r>
        <w:rPr/>
        <w:t>(Joung et al. 2017)</w:t>
      </w:r>
      <w:r>
        <w:rPr>
          <w:rFonts w:hint="eastAsia"/>
        </w:rPr>
      </w:r>
      <w:r>
        <w:rPr>
          <w:rFonts w:hint="eastAsia"/>
        </w:rPr>
        <w:fldChar w:fldCharType="end"/>
      </w:r>
      <w:r>
        <w:rPr/>
        <w:t>. The lysates were then diluted with 40μl of water and cell lysis PCR was performed as regular PCR under the conditions: Initial denaturation, 5 min at 95 °C. Denaturation, 15 sec at 95 °C. Annealing, 15 sec at 58 °C. Extension, 15 sec at 72 °C for 28 cycles following final extension 10 min. Primers used for detected wild type RNASEH2b and knock-out RNASEH2b were RNASEH2B_Wt_Fwd-GCCCTGCTTCTGTGATCCTA, RNASEH2B_Wt_Rev-TCGCTTTGAACTACCCTTGG and RNASEH2B_ko_Fwd- CGCAGACCCAATCCTAGC, RNASEH2B_ko_Rev: TCCCTAGGCCAAATTCCTTT. Discard the cells which the PCR product only showed wild type band. Cells with completed knockout of RNASEH2b gene was confirmed by Western blot. 15 μg of whole cell lysis was used for immunoblotting (1:500 dilution of RNaseH2B Monoclonal Antibody cat. No. MA5-23523).</w:t>
      </w:r>
    </w:p>
    <w:p>
      <w:pPr>
        <w:pStyle w:val="Heading2"/>
        <w:ind w:hanging="0" w:start="0"/>
        <w:rPr/>
      </w:pPr>
      <w:r>
        <w:rPr/>
        <w:t>Whole genome sequencing</w:t>
      </w:r>
      <w:r>
        <w:rPr>
          <w:rFonts w:hint="eastAsia"/>
        </w:rPr>
        <w:t xml:space="preserve"> of </w:t>
      </w:r>
      <w:r>
        <w:rPr>
          <w:shd w:fill="FFFFFF" w:val="clear"/>
        </w:rPr>
        <w:t>RNASEH2</w:t>
      </w:r>
      <w:r>
        <w:rPr>
          <w:rFonts w:hint="eastAsia"/>
          <w:shd w:fill="FFFFFF" w:val="clear"/>
        </w:rPr>
        <w:t>B</w:t>
      </w:r>
      <w:r>
        <w:rPr>
          <w:shd w:fill="FFFFFF" w:val="clear"/>
        </w:rPr>
        <w:t xml:space="preserve"> KO cell</w:t>
      </w:r>
      <w:r>
        <w:rPr>
          <w:rFonts w:hint="eastAsia"/>
          <w:shd w:fill="FFFFFF" w:val="clear"/>
        </w:rPr>
        <w:t xml:space="preserve"> clones</w:t>
      </w:r>
    </w:p>
    <w:p>
      <w:pPr>
        <w:pStyle w:val="normalfirst"/>
        <w:rPr/>
      </w:pPr>
      <w:r>
        <w:rPr/>
        <w:t>Genomic DNA of the completed knout out RNASEH2</w:t>
      </w:r>
      <w:r>
        <w:rPr>
          <w:rFonts w:hint="eastAsia"/>
        </w:rPr>
        <w:t>B</w:t>
      </w:r>
      <w:r>
        <w:rPr/>
        <w:t xml:space="preserve"> cells were extracted using DNeasy Blood &amp; Tissue Kit (Qiagen cat no.69506) and sent for whole genome sequencing (NovogeneAIT Singapore). </w:t>
      </w:r>
    </w:p>
    <w:p>
      <w:pPr>
        <w:pStyle w:val="Heading2"/>
        <w:ind w:hanging="0" w:start="0"/>
        <w:rPr/>
      </w:pPr>
      <w:r>
        <w:rPr/>
        <w:t xml:space="preserve">MSI/MSS </w:t>
      </w:r>
      <w:r>
        <w:rPr>
          <w:rFonts w:hint="eastAsia"/>
        </w:rPr>
        <w:t>s</w:t>
      </w:r>
      <w:r>
        <w:rPr/>
        <w:t>tatus</w:t>
      </w:r>
      <w:r>
        <w:rPr>
          <w:rFonts w:hint="eastAsia"/>
        </w:rPr>
        <w:t xml:space="preserve"> and high/low TMB status</w:t>
      </w:r>
    </w:p>
    <w:p>
      <w:pPr>
        <w:pStyle w:val="normalfirst"/>
        <w:rPr>
          <w:color w:val="000000"/>
        </w:rPr>
      </w:pPr>
      <w:r>
        <w:rPr/>
        <w:t>For PCAWG genomes, the MSI status was evaluated by the PCAWG working group and obtained from the synapse repository (</w:t>
      </w:r>
      <w:r>
        <w:fldChar w:fldCharType="begin"/>
      </w:r>
      <w:r>
        <w:rPr>
          <w:rStyle w:val="Hyperlink"/>
        </w:rPr>
        <w:instrText xml:space="preserve"> HYPERLINK "https://www.synapse.org/" \l "!Synapse:syn8016399"</w:instrText>
      </w:r>
      <w:r>
        <w:rPr>
          <w:rStyle w:val="Hyperlink"/>
        </w:rPr>
        <w:fldChar w:fldCharType="separate"/>
      </w:r>
      <w:r>
        <w:rPr>
          <w:rStyle w:val="Hyperlink"/>
        </w:rPr>
        <w:t>https://www.synapse.org/#!Synapse:syn8016399</w:t>
      </w:r>
      <w:r>
        <w:rPr>
          <w:rStyle w:val="Hyperlink"/>
        </w:rPr>
        <w:fldChar w:fldCharType="end"/>
      </w:r>
      <w:r>
        <w:rPr>
          <w:rFonts w:hint="eastAsia"/>
        </w:rPr>
        <w:t>, the data was downloaded on May 2022</w:t>
      </w:r>
      <w:r>
        <w:rPr/>
        <w:t xml:space="preserve">). For HMF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r>
          <w:r>
            <w:rPr>
              <w:color w:val="000000"/>
            </w:rPr>
            <w:t>Priestley et al., 2019.</w:t>
          </w:r>
        </w:sdtContent>
      </w:sdt>
      <w:r>
        <w:rPr>
          <w:color w:val="000000"/>
        </w:rPr>
        <w:t xml:space="preserve"> </w:t>
      </w:r>
      <w:r>
        <w:rPr>
          <w:rFonts w:hint="eastAsia"/>
          <w:color w:val="000000"/>
        </w:rPr>
        <w:t>The genomes with &gt;14,000 IDs and &gt;15,000 SBSs were labelled as high TMB tumors. The thresholds were selected based on the minimum number of mutations of the pre-defined MSI tumors. We then used MSI-seq to predict the MSI status of high TMB tumors.</w:t>
      </w:r>
    </w:p>
    <w:p>
      <w:pPr>
        <w:pStyle w:val="Heading2"/>
        <w:ind w:hanging="0" w:start="0"/>
        <w:rPr/>
      </w:pPr>
      <w:r>
        <w:rPr/>
        <w:t>Extended sequence context</w:t>
      </w:r>
      <w:r>
        <w:rPr>
          <w:rFonts w:hint="eastAsia"/>
        </w:rPr>
        <w:t xml:space="preserve"> analysis</w:t>
      </w:r>
    </w:p>
    <w:p>
      <w:pPr>
        <w:pStyle w:val="normalfirst"/>
        <w:rPr/>
      </w:pPr>
      <w:r>
        <w:rPr/>
        <w:t xml:space="preserve">To analyze a specific signature and indel type of interest, we first identified the </w:t>
      </w:r>
      <w:r>
        <w:rPr>
          <w:rFonts w:hint="eastAsia"/>
        </w:rPr>
        <w:t>5</w:t>
      </w:r>
      <w:r>
        <w:rPr/>
        <w:t xml:space="preserve"> genomes with the highest </w:t>
      </w:r>
      <w:r>
        <w:rPr>
          <w:rFonts w:hint="eastAsia"/>
        </w:rPr>
        <w:t xml:space="preserve">contribution of the </w:t>
      </w:r>
      <w:r>
        <w:rPr/>
        <w:t>corresponding signature</w:t>
      </w:r>
      <w:r>
        <w:rPr>
          <w:rFonts w:hint="eastAsia"/>
        </w:rPr>
        <w:t xml:space="preserve"> activity</w:t>
      </w:r>
      <w:r>
        <w:rP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rPr/>
        <w:t>seqLogo</w:t>
      </w:r>
      <w:r>
        <w:rPr>
          <w:rFonts w:hint="eastAsia"/>
        </w:rPr>
        <w:t xml:space="preserve"> function of </w:t>
      </w:r>
      <w:r>
        <w:rPr/>
        <w:t>seqLogo</w:t>
      </w:r>
      <w:r>
        <w:rPr>
          <w:rFonts w:hint="eastAsia"/>
        </w:rPr>
        <w:t xml:space="preserve"> R package (version 1.71.0)</w:t>
      </w:r>
    </w:p>
    <w:p>
      <w:pPr>
        <w:pStyle w:val="Heading1"/>
        <w:ind w:hanging="0" w:start="0"/>
        <w:rPr/>
      </w:pPr>
      <w:r>
        <w:rPr/>
        <w:t>Acknowledgement</w:t>
      </w:r>
    </w:p>
    <w:p>
      <w:pPr>
        <w:pStyle w:val="normalfirst"/>
        <w:rPr>
          <w:rFonts w:hint="eastAsia"/>
        </w:rPr>
      </w:pPr>
      <w:r>
        <w:rPr>
          <w:rFonts w:hint="eastAsia"/>
        </w:rPr>
        <w:t xml:space="preserve">We thank Shang Li for providing plasmids for generating CRISPR knockout clones. </w:t>
      </w:r>
    </w:p>
    <w:p>
      <w:pPr>
        <w:pStyle w:val="Heading1"/>
        <w:ind w:hanging="0" w:start="0"/>
        <w:rPr/>
      </w:pPr>
      <w:commentRangeStart w:id="3"/>
      <w:commentRangeStart w:id="4"/>
      <w:r>
        <w:rPr>
          <w:rFonts w:hint="eastAsia"/>
        </w:rPr>
        <w:t>Funding</w:t>
      </w:r>
      <w:r>
        <w:rPr>
          <w:rFonts w:hint="eastAsia"/>
        </w:rPr>
      </w:r>
      <w:commentRangeEnd w:id="4"/>
      <w:r>
        <w:commentReference w:id="4"/>
      </w:r>
      <w:commentRangeEnd w:id="3"/>
      <w:r>
        <w:commentReference w:id="3"/>
      </w:r>
      <w:r>
        <w:rPr>
          <w:rFonts w:hint="eastAsia"/>
        </w:rPr>
      </w:r>
    </w:p>
    <w:p>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t xml:space="preserve">International Science and Technology Innovation Cooperation between Governments for National Key R&amp;D Program Projects </w:t>
      </w:r>
      <w:r>
        <w:rPr>
          <w:rFonts w:hint="eastAsia"/>
        </w:rPr>
        <w:t>(</w:t>
      </w:r>
      <w:r>
        <w:rPr/>
        <w:t>2023YFE0107700</w:t>
      </w:r>
      <w:r>
        <w:rPr>
          <w:rFonts w:hint="eastAsia"/>
        </w:rPr>
        <w:t>), Guangzhou Municipal Science and Technology Bureau (</w:t>
      </w:r>
      <w:r>
        <w:rPr/>
        <w:t>2025A04J4304</w:t>
      </w:r>
      <w:r>
        <w:rPr>
          <w:rFonts w:hint="eastAsia"/>
        </w:rPr>
        <w:t xml:space="preserve">), </w:t>
      </w:r>
      <w:r>
        <w:rPr/>
        <w:t>the 111 Project (D18010)</w:t>
      </w:r>
      <w:r>
        <w:rPr>
          <w:rFonts w:hint="eastAsia"/>
        </w:rPr>
        <w:t>.</w:t>
      </w:r>
      <w:r>
        <w:rPr>
          <w:rFonts w:hint="eastAsia"/>
          <w:color w:val="000000"/>
        </w:rPr>
        <w:t xml:space="preserve"> </w:t>
      </w:r>
    </w:p>
    <w:p>
      <w:pPr>
        <w:pStyle w:val="Heading1"/>
        <w:ind w:hanging="0" w:start="0"/>
        <w:rPr>
          <w:rFonts w:hint="eastAsia"/>
        </w:rPr>
      </w:pPr>
      <w:r>
        <w:rPr>
          <w:rFonts w:hint="eastAsia"/>
        </w:rPr>
        <w:t>Author contributions</w:t>
      </w:r>
    </w:p>
    <w:p>
      <w:pPr>
        <w:pStyle w:val="normalfirst"/>
        <w:rPr/>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COSMIC83 mutational signatures. A.B., S.Z. and S.H. designed and performed gene editing experiments. R.S. performed the AUROC analysis. </w:t>
      </w:r>
      <w:r>
        <w:rPr/>
        <w:t>Data interpretation and manuscript write-up were carried out by M.L., M.H., and S.G.R., with contributions from all other authors. All authors reviewed and approved the final manuscript.</w:t>
      </w:r>
    </w:p>
    <w:p>
      <w:pPr>
        <w:pStyle w:val="Heading1"/>
        <w:ind w:hanging="0" w:start="0"/>
        <w:rPr/>
      </w:pPr>
      <w:r>
        <w:rPr/>
        <w:t>Reference</w:t>
      </w:r>
    </w:p>
    <w:p>
      <w:pPr>
        <w:pStyle w:val="Bibliography"/>
        <w:rPr/>
      </w:pPr>
      <w:r>
        <w:fldChar w:fldCharType="begin"/>
      </w:r>
      <w:r>
        <w:rPr/>
        <w:instrText xml:space="preserve">ADDIN ZOTERO_BIBL {"uncited":[],"omitted":[],"custom":[]} CSL_BIBLIOGRAPHY</w:instrText>
      </w:r>
      <w:r>
        <w:rPr/>
      </w:r>
      <w:r>
        <w:rPr/>
        <w:fldChar w:fldCharType="separate"/>
      </w:r>
      <w:r>
        <w:rPr/>
        <w:t xml:space="preserve">Alexandrov, Ludmil B., Young Seok Ju, Kerstin Haase, et al. 2016. ‘Mutational Signatures Associated with Tobacco Smoking in Human Cancer’. </w:t>
      </w:r>
      <w:r>
        <w:rPr>
          <w:i/>
          <w:iCs/>
        </w:rPr>
        <w:t>Science</w:t>
      </w:r>
      <w:r>
        <w:rPr/>
        <w:t xml:space="preserve"> 354 (6312): 618–22. https://doi.org/10.1126/science.aag0299.</w:t>
      </w:r>
    </w:p>
    <w:p>
      <w:pPr>
        <w:pStyle w:val="Bibliography"/>
        <w:rPr/>
      </w:pPr>
      <w:r>
        <w:rPr/>
        <w:t xml:space="preserve">Alexandrov, Ludmil B., Jaegil Kim, Nicholas J. Haradhvala, et al. 2020. ‘The Repertoire of Mutational Signatures in Human Cancer’. </w:t>
      </w:r>
      <w:r>
        <w:rPr>
          <w:i/>
          <w:iCs/>
        </w:rPr>
        <w:t>Nature</w:t>
      </w:r>
      <w:r>
        <w:rPr/>
        <w:t xml:space="preserve"> 578 (7793): 94–101. https://doi.org/10.1038/s41586-020-1943-3.</w:t>
      </w:r>
    </w:p>
    <w:p>
      <w:pPr>
        <w:pStyle w:val="Bibliography"/>
        <w:rPr/>
      </w:pPr>
      <w:r>
        <w:rPr/>
        <w:t xml:space="preserve">Alexandrov, Ludmil B, Serena Nik-zainal, David C Wedge, and Samuel A J R Aparicio. 2014. </w:t>
      </w:r>
      <w:r>
        <w:rPr>
          <w:i/>
          <w:iCs/>
        </w:rPr>
        <w:t>Signatures of Mutational Processes in Human Cancer</w:t>
      </w:r>
      <w:r>
        <w:rPr/>
        <w:t>. 500 (7463): 415–21. https://doi.org/10.1038/nature12477.Signatures.</w:t>
      </w:r>
    </w:p>
    <w:p>
      <w:pPr>
        <w:pStyle w:val="Bibliography"/>
        <w:rPr/>
      </w:pPr>
      <w:r>
        <w:rPr/>
        <w:t xml:space="preserve">Bavi, Prashant, Stephen B. Baylin, Wojciech Bazant, et al. 2020. ‘Pan-Cancer Analysis of Whole Genomes’. </w:t>
      </w:r>
      <w:r>
        <w:rPr>
          <w:i/>
          <w:iCs/>
        </w:rPr>
        <w:t>Nature</w:t>
      </w:r>
      <w:r>
        <w:rPr/>
        <w:t xml:space="preserve"> 578 (7793): 82–93. https://doi.org/10.1038/s41586-020-1969-6.</w:t>
      </w:r>
    </w:p>
    <w:p>
      <w:pPr>
        <w:pStyle w:val="Bibliography"/>
        <w:rPr/>
      </w:pPr>
      <w:r>
        <w:rPr/>
        <w:t xml:space="preserve">Boot, Arnoud, Mi Ni Huang, Alvin W.T. Ng, et al. 2018. ‘In-Depth Characterization of the Cisplatin Mutational Signature in Human Cell Lines and in Esophageal and Liver Tumors’. </w:t>
      </w:r>
      <w:r>
        <w:rPr>
          <w:i/>
          <w:iCs/>
        </w:rPr>
        <w:t>Genome Research</w:t>
      </w:r>
      <w:r>
        <w:rPr/>
        <w:t xml:space="preserve"> 28 (5): 654–65. https://doi.org/10.1101/gr.230219.117.</w:t>
      </w:r>
    </w:p>
    <w:p>
      <w:pPr>
        <w:pStyle w:val="Bibliography"/>
        <w:rPr/>
      </w:pPr>
      <w:r>
        <w:rPr/>
        <w:t xml:space="preserve">Boot, Arnoud, Alvin W.T. Ng, Fui Teen Chong, et al. 2020. ‘Characterization of Colibactin-Associated Mutational Signature in an Asian Oral Squamous Cell Carcinoma and in Other Mucosal Tumor Types’. </w:t>
      </w:r>
      <w:r>
        <w:rPr>
          <w:i/>
          <w:iCs/>
        </w:rPr>
        <w:t>Genome Research</w:t>
      </w:r>
      <w:r>
        <w:rPr/>
        <w:t xml:space="preserve"> 30 (6): 803–13. https://doi.org/10.1101/gr.255620.119.</w:t>
      </w:r>
    </w:p>
    <w:p>
      <w:pPr>
        <w:pStyle w:val="Bibliography"/>
        <w:rPr/>
      </w:pPr>
      <w:r>
        <w:rPr/>
        <w:t xml:space="preserve">Caipa Garcia, Angela L., Jill E. Kucab, Halh Al-Serori, et al. 2024. ‘Tissue Organoid Cultures Metabolize Dietary Carcinogens Proficiently and Are Effective Models for DNA Adduct Formation’. </w:t>
      </w:r>
      <w:r>
        <w:rPr>
          <w:i/>
          <w:iCs/>
        </w:rPr>
        <w:t>Chemical Research in Toxicology</w:t>
      </w:r>
      <w:r>
        <w:rPr/>
        <w:t xml:space="preserve"> 37 (2): 234–47. https://doi.org/10.1021/acs.chemrestox.3c00255.</w:t>
      </w:r>
    </w:p>
    <w:p>
      <w:pPr>
        <w:pStyle w:val="Bibliography"/>
        <w:rPr/>
      </w:pPr>
      <w:r>
        <w:rPr/>
        <w:t xml:space="preserve">Chen, Lei, Chong Zhang, Ruidong Xue, et al. 2024. ‘Deep Whole-Genome Analysis of 494 Hepatocellular Carcinomas’. </w:t>
      </w:r>
      <w:r>
        <w:rPr>
          <w:i/>
          <w:iCs/>
        </w:rPr>
        <w:t>Nature</w:t>
      </w:r>
      <w:r>
        <w:rPr/>
        <w:t>, ahead of print, March 21. https://doi.org/10.1038/s41586-024-07054-3.</w:t>
      </w:r>
    </w:p>
    <w:p>
      <w:pPr>
        <w:pStyle w:val="Bibliography"/>
        <w:rPr/>
      </w:pPr>
      <w:r>
        <w:rPr/>
        <w:t xml:space="preserve">Cho, Jang-Eun, Nayun Kim, Yue C. Li, and Sue Jinks-Robertson. 2013. ‘Two Distinct Mechanisms of Topoisomerase 1-Dependent Mutagenesis in Yeast’. </w:t>
      </w:r>
      <w:r>
        <w:rPr>
          <w:i/>
          <w:iCs/>
        </w:rPr>
        <w:t>DNA Repair</w:t>
      </w:r>
      <w:r>
        <w:rPr/>
        <w:t xml:space="preserve"> 12 (3): 205–11. https://doi.org/10.1016/j.dnarep.2012.12.004.</w:t>
      </w:r>
    </w:p>
    <w:p>
      <w:pPr>
        <w:pStyle w:val="Bibliography"/>
        <w:rPr/>
      </w:pPr>
      <w:r>
        <w:rPr/>
        <w:t xml:space="preserve">Cooper, David N, Matthew Mort, Peter D Stenson, Edward V Ball, and Nadia A Chuzhanova. 2010. </w:t>
      </w:r>
      <w:r>
        <w:rPr>
          <w:i/>
          <w:iCs/>
        </w:rPr>
        <w:t>Methylation-Mediated Deamination of 5-Methylcytosine Appears to Give Rise to Mutations Causing Human Inherited Disease in CpNpG Trinucleotides, as Well as in CpG Dinucleotides</w:t>
      </w:r>
      <w:r>
        <w:rPr/>
        <w:t>. http://www.hgmd.org.</w:t>
      </w:r>
    </w:p>
    <w:p>
      <w:pPr>
        <w:pStyle w:val="Bibliography"/>
        <w:rPr/>
      </w:pPr>
      <w:r>
        <w:rPr/>
        <w:t xml:space="preserve">Davies, Helen, Dominik Glodzik, Sandro Morganella, et al. 2017. ‘HRDetect Is a Predictor of BRCA1 and BRCA2 Deficiency Based on Mutational Signatures’. </w:t>
      </w:r>
      <w:r>
        <w:rPr>
          <w:i/>
          <w:iCs/>
        </w:rPr>
        <w:t>Nature Medicine</w:t>
      </w:r>
      <w:r>
        <w:rPr/>
        <w:t xml:space="preserve"> 23 (4): 517–25. https://doi.org/10.1038/nm.4292.</w:t>
      </w:r>
    </w:p>
    <w:p>
      <w:pPr>
        <w:pStyle w:val="Bibliography"/>
        <w:rPr/>
      </w:pPr>
      <w:r>
        <w:rPr/>
        <w:t xml:space="preserve">Degasperi, Andrea, Xueqing Zou, Tauanne Dias Amarante, et al. 2022. ‘Substitution Mutational Signatures in Whole-Genome–Sequenced Cancers in the UK Population’. </w:t>
      </w:r>
      <w:r>
        <w:rPr>
          <w:i/>
          <w:iCs/>
        </w:rPr>
        <w:t>Science</w:t>
      </w:r>
      <w:r>
        <w:rPr/>
        <w:t xml:space="preserve"> 376 (6591). https://doi.org/10.1126/science.abl9283.</w:t>
      </w:r>
    </w:p>
    <w:p>
      <w:pPr>
        <w:pStyle w:val="Bibliography"/>
        <w:rPr/>
      </w:pPr>
      <w:r>
        <w:rPr/>
        <w:t xml:space="preserve">Dziubańska-Kusibab, Paulina J., Hilmar Berger, Federica Battistini, et al. 2020. ‘Colibactin DNA-Damage Signature Indicates Mutational Impact in Colorectal Cancer’. </w:t>
      </w:r>
      <w:r>
        <w:rPr>
          <w:i/>
          <w:iCs/>
        </w:rPr>
        <w:t>Nature Medicine</w:t>
      </w:r>
      <w:r>
        <w:rPr/>
        <w:t xml:space="preserve"> 26 (7): 1063–69. https://doi.org/10.1038/s41591-020-0908-2.</w:t>
      </w:r>
    </w:p>
    <w:p>
      <w:pPr>
        <w:pStyle w:val="Bibliography"/>
        <w:rPr/>
      </w:pPr>
      <w:r>
        <w:rPr/>
        <w:t xml:space="preserve">Grolleman, Judith E., Richarda M. de Voer, Fadwa A. Elsayed, et al. 2019. ‘Mutational Signature Analysis Reveals NTHL1 Deficiency to Cause a Multi-Tumor Phenotype’. </w:t>
      </w:r>
      <w:r>
        <w:rPr>
          <w:i/>
          <w:iCs/>
        </w:rPr>
        <w:t>Cancer Cell</w:t>
      </w:r>
      <w:r>
        <w:rPr/>
        <w:t xml:space="preserve"> 35 (2): 256-266.e5. https://doi.org/10.1016/j.ccell.2018.12.011.</w:t>
      </w:r>
    </w:p>
    <w:p>
      <w:pPr>
        <w:pStyle w:val="Bibliography"/>
        <w:rPr/>
      </w:pPr>
      <w:r>
        <w:rPr/>
        <w:t xml:space="preserve">Hoang, Margaret L., Chung-Hsin Chen, Viktoriya S. Sidorenko, et al. 2013. ‘Mutational Signature of Aristolochic Acid Exposure as Revealed by Whole-Exome Sequencing’. </w:t>
      </w:r>
      <w:r>
        <w:rPr>
          <w:i/>
          <w:iCs/>
        </w:rPr>
        <w:t>Science Translational Medicine</w:t>
      </w:r>
      <w:r>
        <w:rPr/>
        <w:t xml:space="preserve"> 5 (197). https://doi.org/10.1126/scitranslmed.3006200.</w:t>
      </w:r>
    </w:p>
    <w:p>
      <w:pPr>
        <w:pStyle w:val="Bibliography"/>
        <w:rPr/>
      </w:pPr>
      <w:r>
        <w:rPr/>
        <w:t xml:space="preserve">Huang, Mi Ni, Willie Yu, Wei Wei Teoh, et al. 2017. ‘Genome-Scale Mutational Signatures of Aflatoxin in Cells, Mice, and Human Tumors’. </w:t>
      </w:r>
      <w:r>
        <w:rPr>
          <w:i/>
          <w:iCs/>
        </w:rPr>
        <w:t>Genome Research</w:t>
      </w:r>
      <w:r>
        <w:rPr/>
        <w:t xml:space="preserve"> 27 (9): 1475–86. https://doi.org/10.1101/gr.220038.116.</w:t>
      </w:r>
    </w:p>
    <w:p>
      <w:pPr>
        <w:pStyle w:val="Bibliography"/>
        <w:rPr/>
      </w:pPr>
      <w:r>
        <w:rPr/>
        <w:t xml:space="preserve">Huang, Mini, John R. McPherson, Ioana Cutcutache, Bin Tean Teh, Patrick Tan, and Steven G. Rozen. 2015. ‘MSIseq: Software for Assessing Microsatellite Instability from Catalogs of Somatic Mutations’. </w:t>
      </w:r>
      <w:r>
        <w:rPr>
          <w:i/>
          <w:iCs/>
        </w:rPr>
        <w:t>Scientific Reports</w:t>
      </w:r>
      <w:r>
        <w:rPr/>
        <w:t xml:space="preserve"> 5 (1): 13321. https://doi.org/10.1038/srep13321.</w:t>
      </w:r>
    </w:p>
    <w:p>
      <w:pPr>
        <w:pStyle w:val="Bibliography"/>
        <w:rPr/>
      </w:pPr>
      <w:r>
        <w:rPr/>
        <w:t xml:space="preserve">Islam, S. M.Ashiqul, Marcos Díaz-Gay, Yang Wu, et al. 2022. ‘Uncovering Novel Mutational Signatures by de Novo Extraction with SigProfilerExtractor’. </w:t>
      </w:r>
      <w:r>
        <w:rPr>
          <w:i/>
          <w:iCs/>
        </w:rPr>
        <w:t>Cell Genomics</w:t>
      </w:r>
      <w:r>
        <w:rPr/>
        <w:t xml:space="preserve"> 2 (11). https://doi.org/10.1016/j.xgen.2022.100179.</w:t>
      </w:r>
    </w:p>
    <w:p>
      <w:pPr>
        <w:pStyle w:val="Bibliography"/>
        <w:rPr/>
      </w:pPr>
      <w:r>
        <w:rPr/>
        <w:t xml:space="preserve">Jiang, Nanhai, Yang Wu, and Steven G Rozen. 2024. ‘A New Approach to the Challenging Problem of Mutational Signature Attribution’. </w:t>
      </w:r>
      <w:r>
        <w:rPr>
          <w:i/>
          <w:iCs/>
        </w:rPr>
        <w:t>bioRxiv</w:t>
      </w:r>
      <w:r>
        <w:rPr/>
        <w:t>, ahead of print. https://doi.org/10.1101/2024.05.20.594967.</w:t>
      </w:r>
    </w:p>
    <w:p>
      <w:pPr>
        <w:pStyle w:val="Bibliography"/>
        <w:rPr/>
      </w:pPr>
      <w:r>
        <w:rPr/>
        <w:t xml:space="preserve">Jin, Hu, Doga C. Gulhan, Benedikt Geiger, et al. 2024. ‘Accurate and Sensitive Mutational Signature Analysis with MuSiCal’. </w:t>
      </w:r>
      <w:r>
        <w:rPr>
          <w:i/>
          <w:iCs/>
        </w:rPr>
        <w:t>Nature Genetics</w:t>
      </w:r>
      <w:r>
        <w:rPr/>
        <w:t xml:space="preserve"> 56 (3): 541–52. https://doi.org/10.1038/s41588-024-01659-0.</w:t>
      </w:r>
    </w:p>
    <w:p>
      <w:pPr>
        <w:pStyle w:val="Bibliography"/>
        <w:rPr/>
      </w:pPr>
      <w:r>
        <w:rPr/>
        <w:t xml:space="preserve">Joung, Julia, Silvana Konermann, Jonathan S Gootenberg, et al. 2017. ‘Genome-Scale CRISPR-Cas9 Knockout and Transcriptional Activation Screening’. </w:t>
      </w:r>
      <w:r>
        <w:rPr>
          <w:i/>
          <w:iCs/>
        </w:rPr>
        <w:t>Nature Protocols</w:t>
      </w:r>
      <w:r>
        <w:rPr/>
        <w:t xml:space="preserve"> 12 (4): 828–63. https://doi.org/10.1038/nprot.2017.016.</w:t>
      </w:r>
    </w:p>
    <w:p>
      <w:pPr>
        <w:pStyle w:val="Bibliography"/>
        <w:rPr/>
      </w:pPr>
      <w:r>
        <w:rPr/>
        <w:t xml:space="preserve">Koh, Gene Ching Chiek, Arjun Scott Nanda, Giuseppe Rinaldi, et al. 2025. ‘A Redefined InDel Taxonomy Provides Insights into Mutational Signatures’. </w:t>
      </w:r>
      <w:r>
        <w:rPr>
          <w:i/>
          <w:iCs/>
        </w:rPr>
        <w:t>Nature Genetics</w:t>
      </w:r>
      <w:r>
        <w:rPr/>
        <w:t>, ahead of print, April 10. https://doi.org/10.1038/s41588-025-02152-y.</w:t>
      </w:r>
    </w:p>
    <w:p>
      <w:pPr>
        <w:pStyle w:val="Bibliography"/>
        <w:rPr/>
      </w:pPr>
      <w:r>
        <w:rPr/>
        <w:t xml:space="preserve">Kucab, Jill E., Xueqing Zou, Sandro Morganella, et al. 2019. ‘A Compendium of Mutational Signatures of Environmental Agents’. </w:t>
      </w:r>
      <w:r>
        <w:rPr>
          <w:i/>
          <w:iCs/>
        </w:rPr>
        <w:t>Cell</w:t>
      </w:r>
      <w:r>
        <w:rPr/>
        <w:t xml:space="preserve"> 177 (4): 821-836.e16. https://doi.org/10.1016/j.cell.2019.03.001.</w:t>
      </w:r>
    </w:p>
    <w:p>
      <w:pPr>
        <w:pStyle w:val="Bibliography"/>
        <w:rPr/>
      </w:pPr>
      <w:r>
        <w:rPr/>
        <w:t xml:space="preserve">Lippert, Malcolm J., Nayun Kim, Jang-Eun Cho, et al. 2011. ‘Role for Topoisomerase 1 in Transcription-Associated Mutagenesis in Yeast’. </w:t>
      </w:r>
      <w:r>
        <w:rPr>
          <w:i/>
          <w:iCs/>
        </w:rPr>
        <w:t>Proceedings of the National Academy of Sciences</w:t>
      </w:r>
      <w:r>
        <w:rPr/>
        <w:t xml:space="preserve"> 108 (2): 698–703. https://doi.org/10.1073/pnas.1012363108.</w:t>
      </w:r>
    </w:p>
    <w:p>
      <w:pPr>
        <w:pStyle w:val="Bibliography"/>
        <w:rPr/>
      </w:pPr>
      <w:r>
        <w:rPr/>
        <w:t xml:space="preserve">Liu, Mo, Yang Wu, Nanhai Jiang, Arnoud Boot, and Steven G Rozen. 2023. ‘mSigHdp: Hierarchical Dirichlet Process Mixture Modeling for Mutational Signature Discovery’. </w:t>
      </w:r>
      <w:r>
        <w:rPr>
          <w:i/>
          <w:iCs/>
        </w:rPr>
        <w:t>NAR Genomics and Bioinformatics</w:t>
      </w:r>
      <w:r>
        <w:rPr/>
        <w:t xml:space="preserve"> 5 (1): lqad005. https://doi.org/10.1093/nargab/lqad005.</w:t>
      </w:r>
    </w:p>
    <w:p>
      <w:pPr>
        <w:pStyle w:val="Bibliography"/>
        <w:rPr/>
      </w:pPr>
      <w:r>
        <w:rPr/>
        <w:t xml:space="preserve">Martínez-Jiménez, Francisco, Ali Movasati, Sascha Remy Brunner, et al. 2023. ‘Pan-Cancer Whole-Genome Comparison of Primary and Metastatic Solid Tumours’. </w:t>
      </w:r>
      <w:r>
        <w:rPr>
          <w:i/>
          <w:iCs/>
        </w:rPr>
        <w:t>Nature</w:t>
      </w:r>
      <w:r>
        <w:rPr/>
        <w:t xml:space="preserve"> 618 (7964): 333–41. https://doi.org/10.1038/s41586-023-06054-z.</w:t>
      </w:r>
    </w:p>
    <w:p>
      <w:pPr>
        <w:pStyle w:val="Bibliography"/>
        <w:rPr/>
      </w:pPr>
      <w:r>
        <w:rPr/>
        <w:t xml:space="preserve">Ng, Alvin W T, Song Ling Poon, Mi Ni Huang, et al. 2017. </w:t>
      </w:r>
      <w:r>
        <w:rPr>
          <w:i/>
          <w:iCs/>
        </w:rPr>
        <w:t>Aristolochic Acids and Their Derivatives Are Widely Implicated in Liver Cancers in Taiwan and throughout Asia</w:t>
      </w:r>
      <w:r>
        <w:rPr/>
        <w:t>. https://www.science.org.</w:t>
      </w:r>
    </w:p>
    <w:p>
      <w:pPr>
        <w:pStyle w:val="Bibliography"/>
        <w:rPr/>
      </w:pPr>
      <w:r>
        <w:rPr/>
        <w:t xml:space="preserve">Nik-Zainal, Serena, Ludmil B. Alexandrov, David C. Wedge, et al. 2012. ‘Mutational Processes Molding the Genomes of 21 Breast Cancers’. </w:t>
      </w:r>
      <w:r>
        <w:rPr>
          <w:i/>
          <w:iCs/>
        </w:rPr>
        <w:t>Cell</w:t>
      </w:r>
      <w:r>
        <w:rPr/>
        <w:t xml:space="preserve"> 149 (5): 979–93. https://doi.org/10.1016/j.cell.2012.04.024.</w:t>
      </w:r>
    </w:p>
    <w:p>
      <w:pPr>
        <w:pStyle w:val="Bibliography"/>
        <w:rPr/>
      </w:pPr>
      <w:r>
        <w:rPr/>
        <w:t xml:space="preserve">Poon, Song Ling, Mi Ni Huang, Yang Choo, et al. 2015. ‘Mutation Signatures Implicate Aristolochic Acid in Bladder Cancer Development’. </w:t>
      </w:r>
      <w:r>
        <w:rPr>
          <w:i/>
          <w:iCs/>
        </w:rPr>
        <w:t>Genome Medicine</w:t>
      </w:r>
      <w:r>
        <w:rPr/>
        <w:t xml:space="preserve"> 7 (1): 38. https://doi.org/10.1186/s13073-015-0161-3.</w:t>
      </w:r>
    </w:p>
    <w:p>
      <w:pPr>
        <w:pStyle w:val="Bibliography"/>
        <w:rPr/>
      </w:pPr>
      <w:r>
        <w:rPr/>
        <w:t xml:space="preserve">Poon, Song Ling, See-Tong Pang, John R. McPherson, et al. 2013. ‘Genome-Wide Mutational Signatures of Aristolochic Acid and Its Application as a Screening Tool’. </w:t>
      </w:r>
      <w:r>
        <w:rPr>
          <w:i/>
          <w:iCs/>
        </w:rPr>
        <w:t>Science Translational Medicine</w:t>
      </w:r>
      <w:r>
        <w:rPr/>
        <w:t xml:space="preserve"> 5 (197). https://doi.org/10.1126/scitranslmed.3006086.</w:t>
      </w:r>
    </w:p>
    <w:p>
      <w:pPr>
        <w:pStyle w:val="Bibliography"/>
        <w:rPr/>
      </w:pPr>
      <w:r>
        <w:rPr/>
        <w:t xml:space="preserve">Ramlee, Muhammad Khairul, Tingdong Yan, Alice M. S. Cheung, Charles T. H. Chuah, and Shang Li. 2015. ‘High-Throughput Genotyping of CRISPR/Cas9-Mediated Mutants Using Fluorescent PCR-Capillary Gel Electrophoresis’. </w:t>
      </w:r>
      <w:r>
        <w:rPr>
          <w:i/>
          <w:iCs/>
        </w:rPr>
        <w:t>Scientific Reports</w:t>
      </w:r>
      <w:r>
        <w:rPr/>
        <w:t xml:space="preserve"> 5 (1): 15587. https://doi.org/10.1038/srep15587.</w:t>
      </w:r>
    </w:p>
    <w:p>
      <w:pPr>
        <w:pStyle w:val="Bibliography"/>
        <w:rPr/>
      </w:pPr>
      <w:r>
        <w:rPr/>
        <w:t xml:space="preserve">Reijns, Martin A. M., David A. Parry, Thomas C. Williams, et al. 2022. ‘Signatures of TOP1 Transcription-Associated Mutagenesis in Cancer and Germline’. </w:t>
      </w:r>
      <w:r>
        <w:rPr>
          <w:i/>
          <w:iCs/>
        </w:rPr>
        <w:t>Nature</w:t>
      </w:r>
      <w:r>
        <w:rPr/>
        <w:t xml:space="preserve"> 602 (7898): 623–31. https://doi.org/10.1038/s41586-022-04403-y.</w:t>
      </w:r>
    </w:p>
    <w:p>
      <w:pPr>
        <w:pStyle w:val="Bibliography"/>
        <w:rPr/>
      </w:pPr>
      <w:r>
        <w:rPr/>
        <w:t xml:space="preserve">Riva, Laura, Arun R. Pandiri, Yun Rose Li, et al. 2020. ‘The Mutational Signature Profile of Known and Suspected Human Carcinogens in Mice’. </w:t>
      </w:r>
      <w:r>
        <w:rPr>
          <w:i/>
          <w:iCs/>
        </w:rPr>
        <w:t>Nature Genetics</w:t>
      </w:r>
      <w:r>
        <w:rPr/>
        <w:t xml:space="preserve"> 52 (11): 1189–97. https://doi.org/10.1038/s41588-020-0692-4.</w:t>
      </w:r>
    </w:p>
    <w:p>
      <w:pPr>
        <w:pStyle w:val="Bibliography"/>
        <w:rPr/>
      </w:pPr>
      <w:r>
        <w:rPr/>
        <w:t xml:space="preserve">Takahashi, Diane T., Guenaelle Burguiere-Slezak, Patricia Auffret Van Der Kemp, and Serge Boiteux. 2011. ‘Topoisomerase 1 Provokes the Formation of Short Deletions in Repeated Sequences upon High Transcription in            </w:t>
      </w:r>
      <w:r>
        <w:rPr>
          <w:i/>
          <w:iCs/>
        </w:rPr>
        <w:t>Saccharomyces Cerevisiae</w:t>
      </w:r>
      <w:r>
        <w:rPr/>
        <w:t xml:space="preserve">’. </w:t>
      </w:r>
      <w:r>
        <w:rPr>
          <w:i/>
          <w:iCs/>
        </w:rPr>
        <w:t>Proceedings of the National Academy of Sciences</w:t>
      </w:r>
      <w:r>
        <w:rPr/>
        <w:t xml:space="preserve"> 108 (2): 692–97. https://doi.org/10.1073/pnas.1012582108.</w:t>
      </w:r>
    </w:p>
    <w:p>
      <w:pPr>
        <w:pStyle w:val="Normal"/>
        <w:spacing w:before="0" w:after="160"/>
        <w:rPr/>
      </w:pPr>
      <w:r/>
      <w:r>
        <w:rPr/>
        <w:fldChar w:fldCharType="end"/>
      </w:r>
      <w:r>
        <w:rPr/>
      </w:r>
    </w:p>
    <w:sectPr>
      <w:footerReference w:type="even" r:id="rId10"/>
      <w:footerReference w:type="default" r:id="rId11"/>
      <w:footerReference w:type="first" r:id="rId12"/>
      <w:type w:val="nextPage"/>
      <w:pgSz w:w="12240" w:h="15840"/>
      <w:pgMar w:left="1440" w:right="1440" w:gutter="0" w:header="0" w:top="1440" w:footer="720" w:bottom="1440"/>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Mo Liu" w:date="2025-08-30T12:01:00Z" w:initials="ML">
    <w:p>
      <w:pPr>
        <w:overflowPunct w:val="false"/>
        <w:spacing w:lineRule="auto" w:line="240" w:before="0" w:after="0"/>
        <w:rPr/>
      </w:pPr>
      <w:r>
        <w:annotationRef/>
      </w:r>
      <w:r>
        <w:rPr>
          <w:rFonts w:eastAsia="DejaVu Sans" w:cs="Noto Sans Arabic UI" w:ascii="Liberation Serif" w:hAnsi="Liberation Serif"/>
          <w:lang w:val="en-US" w:eastAsia="en-US" w:bidi="en-US"/>
        </w:rPr>
        <w:t>Maybe I also need to do a sup figure for this?</w:t>
      </w:r>
    </w:p>
  </w:comment>
  <w:comment w:id="1" w:author="Steve Rozen, Ph.D." w:date="2025-09-23T21:13:00Z" w:initials="SR">
    <w:p>
      <w:pPr>
        <w:overflowPunct w:val="false"/>
        <w:spacing w:lineRule="auto" w:line="240" w:before="0" w:after="0"/>
        <w:rPr/>
      </w:pPr>
      <w:r>
        <w:annotationRef/>
      </w:r>
      <w:r>
        <w:rPr>
          <w:rFonts w:eastAsia="DejaVu Sans" w:cs="Noto Sans Arabic UI" w:ascii="Liberation Serif" w:hAnsi="Liberation Serif"/>
          <w:lang w:val="en-US" w:eastAsia="en-US" w:bidi="en-US"/>
        </w:rPr>
        <w:t>Novel</w:t>
      </w:r>
    </w:p>
  </w:comment>
  <w:comment w:id="2" w:author="Mo Liu" w:date="2025-08-30T17:20:00Z" w:initials="ML">
    <w:p>
      <w:pPr>
        <w:overflowPunct w:val="false"/>
        <w:spacing w:lineRule="auto" w:line="240" w:before="0" w:after="0"/>
        <w:rPr/>
      </w:pPr>
      <w:r>
        <w:annotationRef/>
      </w:r>
      <w:r>
        <w:rPr>
          <w:rFonts w:eastAsia="DejaVu Sans" w:cs="Noto Sans Arabic UI" w:ascii="Liberation Serif" w:hAnsi="Liberation Serif"/>
          <w:lang w:val="en-US" w:eastAsia="en-US" w:bidi="en-US"/>
        </w:rPr>
        <w:t>Is this appropriate?</w:t>
      </w:r>
    </w:p>
  </w:comment>
  <w:comment w:id="4" w:author="Mo Liu" w:date="2025-09-08T14:03:00Z" w:initials="ML">
    <w:p w14:paraId="01000000">
      <w:pPr>
        <w:overflowPunct w:val="false"/>
        <w:spacing w:lineRule="auto" w:line="240" w:before="0" w:after="0"/>
        <w:rPr/>
      </w:pPr>
      <w:r>
        <w:annotationRef/>
      </w:r>
      <w:r>
        <w:rPr>
          <w:rFonts w:eastAsia="DejaVu Sans" w:cs="Noto Sans Arabic UI" w:ascii="Liberation Serif" w:hAnsi="Liberation Serif"/>
          <w:lang w:val="en-US" w:eastAsia="en-US" w:bidi="en-US"/>
        </w:rPr>
        <w:t>Please add in the funding information</w:t>
      </w:r>
    </w:p>
  </w:comment>
  <w:comment w:id="3" w:author="Steve Rozen, Ph.D." w:date="2025-09-28T18:45:00Z" w:initials="SR">
    <w:p w14:paraId="02000000">
      <w:pPr>
        <w:overflowPunct w:val="false"/>
        <w:spacing w:lineRule="auto" w:line="240" w:before="0" w:after="0"/>
        <w:rPr/>
      </w:pPr>
      <w:r>
        <w:annotationRef/>
      </w:r>
      <w:r>
        <w:rPr>
          <w:rFonts w:eastAsia="DejaVu Sans" w:cs="Noto Sans Arabic UI" w:ascii="Liberation Serif" w:hAnsi="Liberation Serif"/>
          <w:lang w:val="en-US" w:eastAsia="en-US" w:bidi="en-US"/>
        </w:rPr>
        <w:t>There is no funding info for me; and I can get in trouble if we list an NIH grant on a paper with foreign authors if we did not declare the foreign authors previously :-/</w:t>
      </w:r>
    </w:p>
  </w:comment>
</w:comments>
</file>

<file path=word/commentsExtended.xml><?xml version="1.0" encoding="utf-8"?>
<w15:commentsEx xmlns:mc="http://schemas.openxmlformats.org/markup-compatibility/2006" xmlns:w15="http://schemas.microsoft.com/office/word/2012/wordml" mc:Ignorable="w15">
  <w15:commentEx w15:paraId="02000000" w15:paraIdParent="01000000"/>
</w15:commentsEx>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Times New Roman">
    <w:charset w:val="01" w:characterSet="utf-8"/>
    <w:family w:val="roman"/>
    <w:pitch w:val="variable"/>
  </w:font>
  <w:font w:name="Segoe UI">
    <w:charset w:val="01" w:characterSet="utf-8"/>
    <w:family w:val="swiss"/>
    <w:pitch w:val="variable"/>
  </w:font>
  <w:font w:name="Courier New">
    <w:charset w:val="01" w:characterSet="utf-8"/>
    <w:family w:val="roman"/>
    <w:pitch w:val="variable"/>
  </w:font>
  <w:font w:name="OpenSymbol">
    <w:altName w:val="Arial Unicode M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t xml:space="preserve">Page </w:t>
    </w:r>
    <w:r>
      <w:rPr/>
      <w:fldChar w:fldCharType="begin"/>
    </w:r>
    <w:r>
      <w:rPr/>
      <w:instrText xml:space="preserve"> PAGE </w:instrText>
    </w:r>
    <w:r>
      <w:rPr/>
      <w:fldChar w:fldCharType="separate"/>
    </w:r>
    <w:r>
      <w:rPr/>
      <w:t>39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t xml:space="preserve">Page </w:t>
    </w:r>
    <w:r>
      <w:rPr/>
      <w:fldChar w:fldCharType="begin"/>
    </w:r>
    <w:r>
      <w:rPr/>
      <w:instrText xml:space="preserve"> PAGE </w:instrText>
    </w:r>
    <w:r>
      <w:rPr/>
      <w:fldChar w:fldCharType="separate"/>
    </w:r>
    <w:r>
      <w:rPr/>
      <w:t>39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20"/>
        </w:tabs>
        <w:ind w:start="720" w:hanging="360"/>
      </w:pPr>
      <w:rPr/>
    </w:lvl>
    <w:lvl w:ilvl="1">
      <w:start w:val="1"/>
      <w:numFmt w:val="decimal"/>
      <w:lvlText w:val="%2."/>
      <w:lvlJc w:val="start"/>
      <w:pPr>
        <w:tabs>
          <w:tab w:val="num" w:pos="1440"/>
        </w:tabs>
        <w:ind w:start="1440" w:hanging="360"/>
      </w:pPr>
      <w:rPr/>
    </w:lvl>
    <w:lvl w:ilvl="2">
      <w:start w:val="1"/>
      <w:numFmt w:val="decimal"/>
      <w:lvlText w:val="%3."/>
      <w:lvlJc w:val="start"/>
      <w:pPr>
        <w:tabs>
          <w:tab w:val="num" w:pos="2160"/>
        </w:tabs>
        <w:ind w:start="2160" w:hanging="360"/>
      </w:pPr>
      <w:rPr/>
    </w:lvl>
    <w:lvl w:ilvl="3">
      <w:start w:val="1"/>
      <w:numFmt w:val="decimal"/>
      <w:lvlText w:val="%4."/>
      <w:lvlJc w:val="start"/>
      <w:pPr>
        <w:tabs>
          <w:tab w:val="num" w:pos="2880"/>
        </w:tabs>
        <w:ind w:start="2880" w:hanging="360"/>
      </w:pPr>
      <w:rPr/>
    </w:lvl>
    <w:lvl w:ilvl="4">
      <w:start w:val="1"/>
      <w:numFmt w:val="decimal"/>
      <w:lvlText w:val="%5."/>
      <w:lvlJc w:val="start"/>
      <w:pPr>
        <w:tabs>
          <w:tab w:val="num" w:pos="3600"/>
        </w:tabs>
        <w:ind w:start="3600" w:hanging="360"/>
      </w:pPr>
      <w:rPr/>
    </w:lvl>
    <w:lvl w:ilvl="5">
      <w:start w:val="1"/>
      <w:numFmt w:val="decimal"/>
      <w:lvlText w:val="%6."/>
      <w:lvlJc w:val="start"/>
      <w:pPr>
        <w:tabs>
          <w:tab w:val="num" w:pos="4320"/>
        </w:tabs>
        <w:ind w:start="4320" w:hanging="360"/>
      </w:pPr>
      <w:rPr/>
    </w:lvl>
    <w:lvl w:ilvl="6">
      <w:start w:val="1"/>
      <w:numFmt w:val="decimal"/>
      <w:lvlText w:val="%7."/>
      <w:lvlJc w:val="start"/>
      <w:pPr>
        <w:tabs>
          <w:tab w:val="num" w:pos="5040"/>
        </w:tabs>
        <w:ind w:start="5040" w:hanging="360"/>
      </w:pPr>
      <w:rPr/>
    </w:lvl>
    <w:lvl w:ilvl="7">
      <w:start w:val="1"/>
      <w:numFmt w:val="decimal"/>
      <w:lvlText w:val="%8."/>
      <w:lvlJc w:val="start"/>
      <w:pPr>
        <w:tabs>
          <w:tab w:val="num" w:pos="5760"/>
        </w:tabs>
        <w:ind w:start="5760" w:hanging="360"/>
      </w:pPr>
      <w:rPr/>
    </w:lvl>
    <w:lvl w:ilvl="8">
      <w:start w:val="1"/>
      <w:numFmt w:val="decimal"/>
      <w:lvlText w:val="%9."/>
      <w:lvlJc w:val="start"/>
      <w:pPr>
        <w:tabs>
          <w:tab w:val="num" w:pos="6480"/>
        </w:tabs>
        <w:ind w:start="6480" w:hanging="360"/>
      </w:pPr>
      <w:rPr/>
    </w:lvl>
  </w:abstractNum>
  <w:abstractNum w:abstractNumId="3">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5"/>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DejaVu Sans" w:cs="Noto Sans Arabic UI"/>
        <w:sz w:val="22"/>
        <w:szCs w:val="22"/>
        <w:lang w:val="en-US" w:eastAsia="zh-CN" w:bidi="ar-SA"/>
      </w:rPr>
    </w:rPrDefault>
    <w:pPrDefault>
      <w:pPr>
        <w:suppressAutoHyphens w:val="true"/>
      </w:pPr>
    </w:pPrDefault>
  </w:docDefaults>
  <w:style w:type="paragraph" w:styleId="Normal">
    <w:name w:val="Normal"/>
    <w:qFormat/>
    <w:pPr>
      <w:widowControl/>
      <w:suppressAutoHyphens w:val="true"/>
      <w:overflowPunct w:val="false"/>
      <w:bidi w:val="0"/>
      <w:spacing w:lineRule="auto" w:line="480" w:before="0" w:after="160"/>
      <w:ind w:firstLine="720"/>
      <w:jc w:val="start"/>
    </w:pPr>
    <w:rPr>
      <w:rFonts w:ascii="Times New Roman" w:hAnsi="Times New Roman" w:eastAsia="DejaVu Sans" w:cs="Times New Roman"/>
      <w:color w:val="auto"/>
      <w:kern w:val="0"/>
      <w:sz w:val="24"/>
      <w:szCs w:val="24"/>
      <w:lang w:val="en-US" w:eastAsia="zh-CN" w:bidi="ar-SA"/>
    </w:rPr>
  </w:style>
  <w:style w:type="paragraph" w:styleId="Heading1">
    <w:name w:val="heading 1"/>
    <w:basedOn w:val="Normal"/>
    <w:next w:val="Normal"/>
    <w:link w:val="Heading1Char"/>
    <w:qFormat/>
    <w:pPr>
      <w:keepNext w:val="true"/>
      <w:keepLines/>
      <w:numPr>
        <w:ilvl w:val="0"/>
        <w:numId w:val="0"/>
      </w:numPr>
      <w:spacing w:before="240" w:after="120"/>
      <w:ind w:hanging="0"/>
      <w:outlineLvl w:val="0"/>
    </w:pPr>
    <w:rPr>
      <w:rFonts w:eastAsia="DejaVu Sans"/>
      <w:b/>
      <w:bCs/>
    </w:rPr>
  </w:style>
  <w:style w:type="paragraph" w:styleId="Heading2">
    <w:name w:val="heading 2"/>
    <w:basedOn w:val="Normal"/>
    <w:next w:val="Normal"/>
    <w:link w:val="Heading2Char"/>
    <w:qFormat/>
    <w:pPr>
      <w:keepNext w:val="true"/>
      <w:keepLines/>
      <w:numPr>
        <w:ilvl w:val="0"/>
        <w:numId w:val="0"/>
      </w:numPr>
      <w:spacing w:before="40" w:after="0"/>
      <w:ind w:hanging="0"/>
      <w:outlineLvl w:val="1"/>
    </w:pPr>
    <w:rPr>
      <w:rFonts w:eastAsia="DejaVu Sans"/>
      <w:b/>
      <w:bCs/>
      <w:i/>
      <w:iCs/>
      <w:color w:themeColor="dark1" w:val="000000"/>
    </w:rPr>
  </w:style>
  <w:style w:type="character" w:styleId="DefaultParagraphFont">
    <w:name w:val="Default Paragraph Font"/>
    <w:qFormat/>
    <w:rPr/>
  </w:style>
  <w:style w:type="character" w:styleId="HeaderChar">
    <w:name w:val="Header Char"/>
    <w:basedOn w:val="DefaultParagraphFont"/>
    <w:link w:val="Header"/>
    <w:qFormat/>
    <w:rPr>
      <w:sz w:val="18"/>
      <w:szCs w:val="18"/>
    </w:rPr>
  </w:style>
  <w:style w:type="character"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themeColor="hyperlink" w:val="0563C1"/>
      <w:u w:val="single"/>
    </w:rPr>
  </w:style>
  <w:style w:type="character" w:styleId="UnresolvedMention">
    <w:name w:val="Unresolved Mention"/>
    <w:basedOn w:val="DefaultParagraphFont"/>
    <w:qFormat/>
    <w:rPr>
      <w:color w:val="605E5C"/>
      <w:shd w:fill="E1DFDD" w:val="clear"/>
    </w:rPr>
  </w:style>
  <w:style w:type="character" w:styleId="CommentReference">
    <w:name w:val="annotation reference"/>
    <w:basedOn w:val="DefaultParagraphFont"/>
    <w:qFormat/>
    <w:rPr>
      <w:sz w:val="21"/>
      <w:szCs w:val="21"/>
    </w:rPr>
  </w:style>
  <w:style w:type="character" w:styleId="CommentTextChar">
    <w:name w:val="Comment Text Char"/>
    <w:basedOn w:val="DefaultParagraphFont"/>
    <w:link w:val="CommentText"/>
    <w:qFormat/>
    <w:rPr/>
  </w:style>
  <w:style w:type="character" w:styleId="CommentSubjectChar">
    <w:name w:val="Comment Subject Char"/>
    <w:basedOn w:val="CommentTextChar"/>
    <w:link w:val="annotationsubject"/>
    <w:qFormat/>
    <w:rPr>
      <w:b/>
      <w:bCs/>
    </w:rPr>
  </w:style>
  <w:style w:type="character" w:styleId="BalloonTextChar">
    <w:name w:val="Balloon Text Char"/>
    <w:basedOn w:val="DefaultParagraphFont"/>
    <w:link w:val="BalloonText"/>
    <w:qFormat/>
    <w:rPr>
      <w:rFonts w:ascii="Segoe UI" w:hAnsi="Segoe UI" w:cs="Segoe UI"/>
      <w:sz w:val="18"/>
      <w:szCs w:val="18"/>
    </w:rPr>
  </w:style>
  <w:style w:type="character" w:styleId="HTMLPreformattedChar">
    <w:name w:val="HTML Preformatted Char"/>
    <w:basedOn w:val="DefaultParagraphFont"/>
    <w:link w:val="HTMLPreformatted"/>
    <w:qFormat/>
    <w:rPr>
      <w:rFonts w:ascii="Courier New" w:hAnsi="Courier New" w:cs="Courier New"/>
      <w:sz w:val="20"/>
      <w:szCs w:val="20"/>
    </w:rPr>
  </w:style>
  <w:style w:type="character" w:styleId="TitleChar">
    <w:name w:val="Title Char"/>
    <w:basedOn w:val="DefaultParagraphFont"/>
    <w:link w:val="Title"/>
    <w:qFormat/>
    <w:rPr>
      <w:rFonts w:ascii="Times New Roman" w:hAnsi="Times New Roman" w:eastAsia="DejaVu Sans" w:cs="Times New Roman"/>
      <w:b/>
      <w:bCs/>
      <w:spacing w:val="-10"/>
      <w:kern w:val="2"/>
      <w:sz w:val="28"/>
      <w:szCs w:val="28"/>
    </w:rPr>
  </w:style>
  <w:style w:type="character" w:styleId="Heading1Char">
    <w:name w:val="Heading 1 Char"/>
    <w:basedOn w:val="DefaultParagraphFont"/>
    <w:link w:val="Heading1"/>
    <w:qFormat/>
    <w:rPr>
      <w:rFonts w:ascii="Times New Roman" w:hAnsi="Times New Roman" w:eastAsia="DejaVu Sans" w:cs="Times New Roman"/>
      <w:b/>
      <w:bCs/>
      <w:sz w:val="24"/>
      <w:szCs w:val="24"/>
    </w:rPr>
  </w:style>
  <w:style w:type="character" w:styleId="FollowedHyperlink">
    <w:name w:val="FollowedHyperlink"/>
    <w:basedOn w:val="DefaultParagraphFont"/>
    <w:rPr>
      <w:color w:themeColor="followedHyperlink" w:val="954F72"/>
      <w:u w:val="single"/>
    </w:rPr>
  </w:style>
  <w:style w:type="character" w:styleId="normalfirstChar">
    <w:name w:val="normal_first Char"/>
    <w:basedOn w:val="DefaultParagraphFont"/>
    <w:link w:val="normalfirst"/>
    <w:qFormat/>
    <w:rPr>
      <w:rFonts w:ascii="Times New Roman" w:hAnsi="Times New Roman" w:cs="Times New Roman"/>
      <w:sz w:val="24"/>
      <w:szCs w:val="24"/>
    </w:rPr>
  </w:style>
  <w:style w:type="character" w:styleId="Heading2Char">
    <w:name w:val="Heading 2 Char"/>
    <w:basedOn w:val="DefaultParagraphFont"/>
    <w:link w:val="Heading2"/>
    <w:qFormat/>
    <w:rPr>
      <w:rFonts w:ascii="Times New Roman" w:hAnsi="Times New Roman" w:eastAsia="DejaVu Sans" w:cs="Times New Roman"/>
      <w:b/>
      <w:bCs/>
      <w:i/>
      <w:iCs/>
      <w:color w:themeColor="dark1" w:val="000000"/>
      <w:sz w:val="24"/>
      <w:szCs w:val="24"/>
    </w:rPr>
  </w:style>
  <w:style w:type="character" w:styleId="authorsandaffChar">
    <w:name w:val="authors_and_aff Char"/>
    <w:basedOn w:val="normalfirstChar"/>
    <w:link w:val="authorsandaff"/>
    <w:qFormat/>
    <w:rPr>
      <w:rFonts w:ascii="Times New Roman" w:hAnsi="Times New Roman" w:cs="Times New Roman"/>
      <w:sz w:val="24"/>
      <w:szCs w:val="24"/>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pPr>
      <w:tabs>
        <w:tab w:val="clear" w:pos="720"/>
        <w:tab w:val="center" w:pos="4153" w:leader="none"/>
        <w:tab w:val="right" w:pos="8306" w:leader="none"/>
      </w:tabs>
      <w:snapToGrid w:val="false"/>
      <w:spacing w:lineRule="auto" w:line="240"/>
      <w:jc w:val="center"/>
    </w:pPr>
    <w:rPr>
      <w:sz w:val="18"/>
      <w:szCs w:val="18"/>
    </w:rPr>
  </w:style>
  <w:style w:type="paragraph" w:styleId="Footer">
    <w:name w:val="footer"/>
    <w:basedOn w:val="Normal"/>
    <w:link w:val="FooterChar"/>
    <w:pPr>
      <w:tabs>
        <w:tab w:val="clear" w:pos="720"/>
        <w:tab w:val="center" w:pos="4153" w:leader="none"/>
        <w:tab w:val="right" w:pos="8306" w:leader="none"/>
      </w:tabs>
      <w:snapToGrid w:val="false"/>
      <w:spacing w:lineRule="auto" w:line="240"/>
    </w:pPr>
    <w:rPr>
      <w:sz w:val="18"/>
      <w:szCs w:val="18"/>
    </w:rPr>
  </w:style>
  <w:style w:type="paragraph" w:styleId="CommentText">
    <w:name w:val="annotation text"/>
    <w:basedOn w:val="Normal"/>
    <w:link w:val="CommentTextChar"/>
    <w:pPr/>
    <w:rPr/>
  </w:style>
  <w:style w:type="paragraph" w:styleId="annotationsubject">
    <w:name w:val="annotation subject"/>
    <w:basedOn w:val="CommentText"/>
    <w:next w:val="CommentText"/>
    <w:link w:val="CommentSubjectChar"/>
    <w:qFormat/>
    <w:pPr/>
    <w:rPr>
      <w:b/>
      <w:bCs/>
    </w:rPr>
  </w:style>
  <w:style w:type="paragraph" w:styleId="BalloonText">
    <w:name w:val="Balloon Text"/>
    <w:basedOn w:val="Normal"/>
    <w:link w:val="BalloonTextChar"/>
    <w:qFormat/>
    <w:pPr>
      <w:spacing w:lineRule="auto" w:line="240" w:before="0" w:after="0"/>
    </w:pPr>
    <w:rPr>
      <w:rFonts w:ascii="Segoe UI" w:hAnsi="Segoe UI" w:cs="Segoe UI"/>
      <w:sz w:val="18"/>
      <w:szCs w:val="18"/>
    </w:rPr>
  </w:style>
  <w:style w:type="paragraph" w:styleId="Revision">
    <w:name w:val="Revision"/>
    <w:qFormat/>
    <w:pPr>
      <w:widowControl/>
      <w:suppressAutoHyphens w:val="true"/>
      <w:overflowPunct w:val="false"/>
      <w:bidi w:val="0"/>
      <w:spacing w:lineRule="auto" w:line="240" w:before="0" w:after="0"/>
      <w:jc w:val="start"/>
    </w:pPr>
    <w:rPr>
      <w:rFonts w:ascii="Calibri" w:hAnsi="Calibri" w:eastAsia="DejaVu Sans" w:cs="Noto Sans Arabic UI"/>
      <w:color w:val="auto"/>
      <w:kern w:val="0"/>
      <w:sz w:val="22"/>
      <w:szCs w:val="22"/>
      <w:lang w:val="en-US" w:eastAsia="zh-CN" w:bidi="ar-SA"/>
    </w:rPr>
  </w:style>
  <w:style w:type="paragraph" w:styleId="Bibliography">
    <w:name w:val="Bibliography"/>
    <w:basedOn w:val="Normal"/>
    <w:next w:val="Normal"/>
    <w:qFormat/>
    <w:pPr>
      <w:spacing w:lineRule="auto" w:line="240" w:before="0" w:after="240"/>
      <w:ind w:hanging="720" w:start="720"/>
    </w:pPr>
    <w:rPr/>
  </w:style>
  <w:style w:type="paragraph" w:styleId="HTMLPreformatted">
    <w:name w:val="HTML Preformatted"/>
    <w:basedOn w:val="Normal"/>
    <w:link w:val="HTMLPreformattedChar"/>
    <w:qFormat/>
    <w:pPr/>
    <w:rPr>
      <w:rFonts w:ascii="Courier New" w:hAnsi="Courier New" w:cs="Courier New"/>
      <w:sz w:val="20"/>
      <w:szCs w:val="20"/>
    </w:rPr>
  </w:style>
  <w:style w:type="paragraph" w:styleId="Title">
    <w:name w:val="Title"/>
    <w:basedOn w:val="Normal"/>
    <w:next w:val="Normal"/>
    <w:link w:val="TitleChar"/>
    <w:qFormat/>
    <w:pPr>
      <w:spacing w:lineRule="auto" w:line="240" w:before="0" w:after="240"/>
      <w:ind w:hanging="0"/>
      <w:contextualSpacing/>
    </w:pPr>
    <w:rPr>
      <w:rFonts w:eastAsia="DejaVu Sans"/>
      <w:b/>
      <w:bCs/>
      <w:spacing w:val="-10"/>
      <w:kern w:val="2"/>
      <w:sz w:val="28"/>
      <w:szCs w:val="28"/>
    </w:rPr>
  </w:style>
  <w:style w:type="paragraph" w:styleId="ListParagraph">
    <w:name w:val="List Paragraph"/>
    <w:basedOn w:val="Normal"/>
    <w:qFormat/>
    <w:pPr>
      <w:ind w:firstLineChars="200"/>
    </w:pPr>
    <w:rPr/>
  </w:style>
  <w:style w:type="paragraph" w:styleId="normalfirst">
    <w:name w:val="normal_first"/>
    <w:basedOn w:val="Normal"/>
    <w:link w:val="normalfirstChar"/>
    <w:qFormat/>
    <w:pPr>
      <w:ind w:hanging="0"/>
    </w:pPr>
    <w:rPr/>
  </w:style>
  <w:style w:type="paragraph" w:styleId="authorsandaff">
    <w:name w:val="authors_and_aff"/>
    <w:basedOn w:val="normalfirst"/>
    <w:link w:val="authorsandaffChar"/>
    <w:qFormat/>
    <w:pPr>
      <w:spacing w:lineRule="auto" w:line="240" w:before="0" w:after="120"/>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mo.liu@gzhmu.edu.cn" TargetMode="External"/><Relationship Id="rId3" Type="http://schemas.openxmlformats.org/officeDocument/2006/relationships/hyperlink" Target="https://cancer.sanger.ac.uk/signatures/documents/4/PCAWG7_indel_classification_2021_08_31.xlsx" TargetMode="External"/><Relationship Id="rId4" Type="http://schemas.openxmlformats.org/officeDocument/2006/relationships/hyperlink" Target="https://dcc.icgc.org/releases/current/Projects/" TargetMode="External"/><Relationship Id="rId5" Type="http://schemas.openxmlformats.org/officeDocument/2006/relationships/hyperlink" Target="https://cancer.sanger.ac.uk/cosmic/census?tier=1" TargetMode="External"/><Relationship Id="rId6" Type="http://schemas.openxmlformats.org/officeDocument/2006/relationships/hyperlink" Target="https://bmcbioinformatics.biomedcentral.com/articles/10.1186/s12859-020-03772-3" TargetMode="External"/><Relationship Id="rId7" Type="http://schemas.openxmlformats.org/officeDocument/2006/relationships/hyperlink" Target="https://doi.org/10.1016/j.celrep.2023.112930" TargetMode="External"/><Relationship Id="rId8" Type="http://schemas.openxmlformats.org/officeDocument/2006/relationships/hyperlink" Target="https://hgdownload.cse.ucsc.edu/goldenPath/hg19/encodeDCC/wgEncodeUwRepliSeq/" TargetMode="External"/><Relationship Id="rId9" Type="http://schemas.openxmlformats.org/officeDocument/2006/relationships/hyperlink" Target="https://genomebiology.biomedcentral.com/articles/10.1186/s13059-018-1509-y" TargetMode="Externa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comments" Target="comments.xml"/><Relationship Id="rId14" Type="http://schemas.microsoft.com/office/2011/relationships/commentsExtended" Target="commentsExtended.xml"/><Relationship Id="rId15" Type="http://schemas.openxmlformats.org/officeDocument/2006/relationships/numbering" Target="numbering.xml"/><Relationship Id="rId16" Type="http://schemas.openxmlformats.org/officeDocument/2006/relationships/fontTable" Target="fontTable.xml"/><Relationship Id="rId17" Type="http://schemas.openxmlformats.org/officeDocument/2006/relationships/settings" Target="settings.xml"/><Relationship Id="rId1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1259</TotalTime>
  <Application>LibreOffice/25.8.3.2$Linux_X86_64 LibreOffice_project/580$Build-2</Application>
  <AppVersion>15.0000</AppVersion>
  <Pages>39</Pages>
  <Words>9944</Words>
  <Characters>59746</Characters>
  <CharactersWithSpaces>69529</CharactersWithSpaces>
  <Paragraphs>175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2025-09-28T22:37:00Z</dcterms:created>
  <dc:creator>Mo Liu</dc:creator>
  <dc:description/>
  <dc:language>en-US</dc:language>
  <cp:lastModifiedBy/>
  <cp:lastPrinted>2025-06-06T09:23:00Z</cp:lastPrinted>
  <dcterms:modified xsi:type="dcterms:W3CDTF">2025-12-13T21:22:44Z</dcterms:modified>
  <cp:revision>58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PREF_1">
    <vt:lpwstr>&lt;data data-version="3" zotero-version="7.0.24"&gt;&lt;session id="LB8OR9DJ"/&gt;&lt;style id="http://www.zotero.org/styles/chicago-author-date" locale="en-GB" hasBibliography="1" bibliographyStyleHasBeenSet="1"/&gt;&lt;prefs&gt;&lt;pref name="fieldType" value="Field"/&gt;&lt;pref name</vt:lpwstr>
  </property>
  <property fmtid="{D5CDD505-2E9C-101B-9397-08002B2CF9AE}" pid="4" name="ZOTERO_PREF_2">
    <vt:lpwstr>="automaticJournalAbbreviations" value="true"/&gt;&lt;/prefs&gt;&lt;/data&gt;</vt:lpwstr>
  </property>
</Properties>
</file>